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A6D14" w14:textId="77777777" w:rsidR="00DC3868" w:rsidRDefault="002C3A60">
      <w:pPr>
        <w:spacing w:after="20" w:line="259" w:lineRule="auto"/>
        <w:ind w:left="4959" w:right="0" w:firstLine="0"/>
        <w:jc w:val="left"/>
      </w:pPr>
      <w:r>
        <w:rPr>
          <w:sz w:val="28"/>
        </w:rPr>
        <w:t xml:space="preserve"> </w:t>
      </w:r>
    </w:p>
    <w:p w14:paraId="60575063" w14:textId="77777777" w:rsidR="00DC3868" w:rsidRDefault="002C3A60">
      <w:pPr>
        <w:spacing w:after="23" w:line="259" w:lineRule="auto"/>
        <w:ind w:left="4959" w:right="0" w:firstLine="0"/>
        <w:jc w:val="left"/>
      </w:pPr>
      <w:r>
        <w:rPr>
          <w:sz w:val="28"/>
        </w:rPr>
        <w:t xml:space="preserve"> </w:t>
      </w:r>
    </w:p>
    <w:p w14:paraId="10B3C1AE" w14:textId="4CBD0451" w:rsidR="00DC3868" w:rsidRDefault="00DC3868">
      <w:pPr>
        <w:spacing w:after="23" w:line="259" w:lineRule="auto"/>
        <w:ind w:left="2984" w:right="0" w:firstLine="0"/>
        <w:jc w:val="left"/>
      </w:pPr>
    </w:p>
    <w:p w14:paraId="5B19F046" w14:textId="77777777" w:rsidR="00DC3868" w:rsidRDefault="002C3A60">
      <w:pPr>
        <w:spacing w:after="20" w:line="259" w:lineRule="auto"/>
        <w:ind w:left="4959" w:right="0" w:firstLine="0"/>
        <w:jc w:val="left"/>
      </w:pPr>
      <w:r>
        <w:rPr>
          <w:sz w:val="28"/>
        </w:rPr>
        <w:t xml:space="preserve"> </w:t>
      </w:r>
    </w:p>
    <w:p w14:paraId="0D2392E3" w14:textId="77777777" w:rsidR="00DC3868" w:rsidRDefault="002C3A60">
      <w:pPr>
        <w:spacing w:after="24" w:line="259" w:lineRule="auto"/>
        <w:ind w:left="4959" w:right="0" w:firstLine="0"/>
        <w:jc w:val="left"/>
      </w:pPr>
      <w:r>
        <w:rPr>
          <w:sz w:val="28"/>
        </w:rPr>
        <w:t xml:space="preserve"> </w:t>
      </w:r>
    </w:p>
    <w:p w14:paraId="6BB4D01A" w14:textId="6F047246" w:rsidR="00DC3868" w:rsidRDefault="00DC3868">
      <w:pPr>
        <w:spacing w:after="20" w:line="259" w:lineRule="auto"/>
        <w:ind w:left="4959" w:right="0" w:firstLine="0"/>
        <w:jc w:val="left"/>
      </w:pPr>
    </w:p>
    <w:p w14:paraId="12A05761" w14:textId="77777777" w:rsidR="00DC3868" w:rsidRDefault="002C3A60">
      <w:pPr>
        <w:spacing w:after="23" w:line="259" w:lineRule="auto"/>
        <w:ind w:left="4959" w:right="0" w:firstLine="0"/>
        <w:jc w:val="left"/>
      </w:pPr>
      <w:r>
        <w:rPr>
          <w:sz w:val="28"/>
        </w:rPr>
        <w:t xml:space="preserve"> </w:t>
      </w:r>
    </w:p>
    <w:p w14:paraId="2C44E74D" w14:textId="77777777" w:rsidR="00DC3868" w:rsidRDefault="002C3A60">
      <w:pPr>
        <w:spacing w:after="0" w:line="259" w:lineRule="auto"/>
        <w:ind w:left="4959" w:right="0" w:firstLine="0"/>
        <w:jc w:val="left"/>
      </w:pPr>
      <w:r>
        <w:rPr>
          <w:sz w:val="28"/>
        </w:rPr>
        <w:t xml:space="preserve"> </w:t>
      </w:r>
    </w:p>
    <w:p w14:paraId="6A6A3E40" w14:textId="1725BA62" w:rsidR="00DC3868" w:rsidRDefault="00764588">
      <w:pPr>
        <w:spacing w:after="0" w:line="259" w:lineRule="auto"/>
        <w:ind w:left="474" w:right="0" w:firstLine="0"/>
        <w:jc w:val="left"/>
      </w:pPr>
      <w:r>
        <w:object w:dxaOrig="5386" w:dyaOrig="2713" w14:anchorId="6DA42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25pt;height:257.25pt" o:ole="">
            <v:imagedata r:id="rId6" o:title=""/>
          </v:shape>
          <o:OLEObject Type="Embed" ProgID="CorelDraw.Graphic.20" ShapeID="_x0000_i1025" DrawAspect="Content" ObjectID="_1810743081" r:id="rId7"/>
        </w:object>
      </w:r>
    </w:p>
    <w:p w14:paraId="08E30FD2" w14:textId="77777777" w:rsidR="00DC3868" w:rsidRDefault="002C3A60">
      <w:pPr>
        <w:spacing w:after="217" w:line="259" w:lineRule="auto"/>
        <w:ind w:left="474" w:right="405" w:firstLine="0"/>
        <w:jc w:val="right"/>
      </w:pPr>
      <w:r>
        <w:rPr>
          <w:sz w:val="28"/>
        </w:rPr>
        <w:t xml:space="preserve"> </w:t>
      </w:r>
    </w:p>
    <w:p w14:paraId="0C42DE4B" w14:textId="77777777" w:rsidR="009C2565" w:rsidRDefault="009C2565" w:rsidP="009C2565">
      <w:pPr>
        <w:spacing w:after="47" w:line="259" w:lineRule="auto"/>
        <w:ind w:right="0"/>
        <w:jc w:val="left"/>
        <w:rPr>
          <w:sz w:val="56"/>
        </w:rPr>
      </w:pPr>
    </w:p>
    <w:p w14:paraId="4FFA69F6" w14:textId="51B2BD5B" w:rsidR="00DC3868" w:rsidRDefault="00DC3868">
      <w:pPr>
        <w:spacing w:after="49" w:line="259" w:lineRule="auto"/>
        <w:ind w:left="4959" w:right="0" w:firstLine="0"/>
        <w:jc w:val="left"/>
      </w:pPr>
    </w:p>
    <w:p w14:paraId="54BFE93E" w14:textId="77777777" w:rsidR="00DC3868" w:rsidRDefault="002C3A60" w:rsidP="009C2565">
      <w:pPr>
        <w:spacing w:after="47" w:line="259" w:lineRule="auto"/>
        <w:ind w:right="0"/>
        <w:jc w:val="left"/>
      </w:pPr>
      <w:r>
        <w:rPr>
          <w:sz w:val="56"/>
        </w:rPr>
        <w:t xml:space="preserve"> </w:t>
      </w:r>
    </w:p>
    <w:p w14:paraId="6163D86C" w14:textId="77777777" w:rsidR="00DC3868" w:rsidRDefault="002C3A60">
      <w:pPr>
        <w:spacing w:after="0" w:line="259" w:lineRule="auto"/>
        <w:ind w:left="4959" w:right="0" w:firstLine="0"/>
        <w:jc w:val="left"/>
      </w:pPr>
      <w:r>
        <w:rPr>
          <w:sz w:val="56"/>
        </w:rPr>
        <w:t xml:space="preserve"> </w:t>
      </w:r>
    </w:p>
    <w:p w14:paraId="24AD6716" w14:textId="77777777" w:rsidR="00206C27" w:rsidRDefault="00206C27">
      <w:pPr>
        <w:spacing w:after="26" w:line="259" w:lineRule="auto"/>
        <w:ind w:left="4688" w:right="0"/>
        <w:jc w:val="left"/>
        <w:rPr>
          <w:sz w:val="28"/>
        </w:rPr>
      </w:pPr>
    </w:p>
    <w:p w14:paraId="7F854F60" w14:textId="77777777" w:rsidR="00206C27" w:rsidRDefault="00206C27">
      <w:pPr>
        <w:spacing w:after="26" w:line="259" w:lineRule="auto"/>
        <w:ind w:left="4688" w:right="0"/>
        <w:jc w:val="left"/>
        <w:rPr>
          <w:sz w:val="28"/>
        </w:rPr>
      </w:pPr>
    </w:p>
    <w:p w14:paraId="003FD431" w14:textId="77777777" w:rsidR="00206C27" w:rsidRDefault="00206C27">
      <w:pPr>
        <w:spacing w:after="26" w:line="259" w:lineRule="auto"/>
        <w:ind w:left="4688" w:right="0"/>
        <w:jc w:val="left"/>
        <w:rPr>
          <w:sz w:val="28"/>
        </w:rPr>
      </w:pPr>
    </w:p>
    <w:p w14:paraId="65922BC5" w14:textId="77777777" w:rsidR="00206C27" w:rsidRDefault="00206C27">
      <w:pPr>
        <w:spacing w:after="26" w:line="259" w:lineRule="auto"/>
        <w:ind w:left="4688" w:right="0"/>
        <w:jc w:val="left"/>
        <w:rPr>
          <w:sz w:val="28"/>
        </w:rPr>
      </w:pPr>
    </w:p>
    <w:p w14:paraId="231F0B36" w14:textId="77777777" w:rsidR="00206C27" w:rsidRDefault="00206C27" w:rsidP="009C2565">
      <w:pPr>
        <w:spacing w:after="26" w:line="259" w:lineRule="auto"/>
        <w:ind w:left="0" w:right="0" w:firstLine="0"/>
        <w:jc w:val="left"/>
        <w:rPr>
          <w:sz w:val="28"/>
        </w:rPr>
      </w:pPr>
    </w:p>
    <w:p w14:paraId="4E728C76" w14:textId="56AC17EF" w:rsidR="00DC3868" w:rsidRDefault="002C3A60">
      <w:pPr>
        <w:spacing w:after="26" w:line="259" w:lineRule="auto"/>
        <w:ind w:left="4688" w:right="0"/>
        <w:jc w:val="left"/>
      </w:pPr>
      <w:r>
        <w:rPr>
          <w:sz w:val="28"/>
        </w:rPr>
        <w:t xml:space="preserve"> </w:t>
      </w:r>
    </w:p>
    <w:p w14:paraId="1B8373EB" w14:textId="77777777" w:rsidR="00DC3868" w:rsidRDefault="002C3A60">
      <w:pPr>
        <w:spacing w:after="0" w:line="259" w:lineRule="auto"/>
        <w:ind w:left="0" w:right="0" w:firstLine="0"/>
        <w:jc w:val="left"/>
      </w:pPr>
      <w:r>
        <w:rPr>
          <w:sz w:val="28"/>
        </w:rPr>
        <w:t xml:space="preserve">   </w:t>
      </w:r>
    </w:p>
    <w:p w14:paraId="25DB9017" w14:textId="511C9551" w:rsidR="00206C27" w:rsidRDefault="009C2565">
      <w:pPr>
        <w:spacing w:after="23" w:line="259" w:lineRule="auto"/>
        <w:ind w:left="0" w:right="1" w:firstLine="0"/>
        <w:jc w:val="center"/>
        <w:rPr>
          <w:sz w:val="28"/>
        </w:rPr>
      </w:pPr>
      <w:r>
        <w:rPr>
          <w:sz w:val="28"/>
        </w:rPr>
        <w:t>202</w:t>
      </w:r>
      <w:r w:rsidR="00CF2D89">
        <w:rPr>
          <w:sz w:val="28"/>
        </w:rPr>
        <w:t>5</w:t>
      </w:r>
    </w:p>
    <w:p w14:paraId="55156A5D" w14:textId="319E501F" w:rsidR="00764588" w:rsidRDefault="00764588">
      <w:pPr>
        <w:spacing w:after="23" w:line="259" w:lineRule="auto"/>
        <w:ind w:left="0" w:right="1" w:firstLine="0"/>
        <w:jc w:val="center"/>
        <w:rPr>
          <w:sz w:val="28"/>
        </w:rPr>
      </w:pPr>
    </w:p>
    <w:p w14:paraId="2174830A" w14:textId="77777777" w:rsidR="00764588" w:rsidRDefault="00764588">
      <w:pPr>
        <w:spacing w:after="23" w:line="259" w:lineRule="auto"/>
        <w:ind w:left="0" w:right="1" w:firstLine="0"/>
        <w:jc w:val="center"/>
        <w:rPr>
          <w:sz w:val="28"/>
        </w:rPr>
      </w:pPr>
    </w:p>
    <w:p w14:paraId="1983EF4F" w14:textId="42386299" w:rsidR="00206C27" w:rsidRDefault="00206C27">
      <w:pPr>
        <w:spacing w:after="23" w:line="259" w:lineRule="auto"/>
        <w:ind w:left="0" w:right="1" w:firstLine="0"/>
        <w:jc w:val="center"/>
        <w:rPr>
          <w:sz w:val="28"/>
        </w:rPr>
      </w:pPr>
    </w:p>
    <w:p w14:paraId="082B6E63" w14:textId="18A0C877" w:rsidR="00472684" w:rsidRDefault="00472684">
      <w:pPr>
        <w:spacing w:after="23" w:line="259" w:lineRule="auto"/>
        <w:ind w:left="0" w:right="1" w:firstLine="0"/>
        <w:jc w:val="center"/>
        <w:rPr>
          <w:sz w:val="28"/>
        </w:rPr>
      </w:pPr>
    </w:p>
    <w:p w14:paraId="6B373965" w14:textId="77777777" w:rsidR="0086523C" w:rsidRDefault="0086523C">
      <w:pPr>
        <w:spacing w:after="23" w:line="259" w:lineRule="auto"/>
        <w:ind w:left="0" w:right="1" w:firstLine="0"/>
        <w:jc w:val="center"/>
        <w:rPr>
          <w:sz w:val="28"/>
        </w:rPr>
      </w:pPr>
    </w:p>
    <w:p w14:paraId="11F01E41" w14:textId="43C5670D" w:rsidR="0086523C" w:rsidRDefault="0086523C">
      <w:pPr>
        <w:spacing w:after="23" w:line="259" w:lineRule="auto"/>
        <w:ind w:left="0" w:right="1" w:firstLine="0"/>
        <w:jc w:val="center"/>
        <w:rPr>
          <w:sz w:val="28"/>
        </w:rPr>
      </w:pPr>
    </w:p>
    <w:p w14:paraId="070F237C" w14:textId="77777777" w:rsidR="0086523C" w:rsidRDefault="0086523C">
      <w:pPr>
        <w:spacing w:after="23" w:line="259" w:lineRule="auto"/>
        <w:ind w:left="0" w:right="1" w:firstLine="0"/>
        <w:jc w:val="center"/>
        <w:rPr>
          <w:sz w:val="28"/>
        </w:rPr>
      </w:pPr>
    </w:p>
    <w:p w14:paraId="748228BC" w14:textId="7E2AA2BC" w:rsidR="00F365FF" w:rsidRPr="00667154" w:rsidRDefault="00B04816" w:rsidP="00667154">
      <w:pPr>
        <w:spacing w:after="0" w:line="259" w:lineRule="auto"/>
        <w:ind w:left="0" w:right="1" w:firstLine="0"/>
        <w:jc w:val="center"/>
        <w:rPr>
          <w:sz w:val="28"/>
          <w:lang w:val="ka-GE"/>
        </w:rPr>
      </w:pPr>
      <w:r>
        <w:rPr>
          <w:sz w:val="28"/>
          <w:lang w:val="ka-GE"/>
        </w:rPr>
        <w:lastRenderedPageBreak/>
        <w:t xml:space="preserve">ნასყიდობის </w:t>
      </w:r>
      <w:r w:rsidR="002C3A60">
        <w:rPr>
          <w:sz w:val="28"/>
        </w:rPr>
        <w:t xml:space="preserve">ხელშეკრულება   </w:t>
      </w:r>
    </w:p>
    <w:p w14:paraId="211E344D" w14:textId="5BE68972" w:rsidR="00DC3868" w:rsidRPr="00563494" w:rsidRDefault="002C3A60">
      <w:pPr>
        <w:spacing w:after="0" w:line="259" w:lineRule="auto"/>
        <w:ind w:left="32" w:right="0" w:firstLine="0"/>
        <w:jc w:val="center"/>
      </w:pPr>
      <w:r>
        <w:rPr>
          <w:sz w:val="23"/>
        </w:rPr>
        <w:t xml:space="preserve"># </w:t>
      </w:r>
      <w:r w:rsidR="00563494">
        <w:rPr>
          <w:sz w:val="28"/>
        </w:rPr>
        <w:t>S00771</w:t>
      </w:r>
    </w:p>
    <w:p w14:paraId="55E1AAB9" w14:textId="77777777" w:rsidR="00667154" w:rsidRDefault="002C3A60" w:rsidP="00667154">
      <w:pPr>
        <w:ind w:left="-5"/>
      </w:pPr>
      <w:r>
        <w:t xml:space="preserve"> ქ. თბილისი     </w:t>
      </w:r>
    </w:p>
    <w:p w14:paraId="056CDE17" w14:textId="7EF0DB36" w:rsidR="00F365FF" w:rsidRDefault="00863103" w:rsidP="00667154">
      <w:pPr>
        <w:ind w:left="-5"/>
        <w:jc w:val="right"/>
      </w:pPr>
      <w:r>
        <w:rPr>
          <w:b/>
          <w:bCs/>
          <w:lang w:val="ka-GE"/>
        </w:rPr>
        <w:t>--------</w:t>
      </w:r>
      <w:r w:rsidR="00563494">
        <w:rPr>
          <w:lang w:val="ka-GE"/>
        </w:rPr>
        <w:t xml:space="preserve"> </w:t>
      </w:r>
      <w:r w:rsidR="002C3A60">
        <w:t xml:space="preserve"> წელი  </w:t>
      </w:r>
    </w:p>
    <w:p w14:paraId="17408CCB" w14:textId="77777777" w:rsidR="00563494" w:rsidRPr="00F365FF" w:rsidRDefault="00563494" w:rsidP="00667154">
      <w:pPr>
        <w:ind w:left="-5"/>
        <w:jc w:val="right"/>
        <w:rPr>
          <w:lang w:val="ka-GE"/>
        </w:rPr>
      </w:pPr>
    </w:p>
    <w:p w14:paraId="44F84D47" w14:textId="5B5C2517" w:rsidR="00DC3868" w:rsidRDefault="002C3A60" w:rsidP="001D742E">
      <w:pPr>
        <w:autoSpaceDE w:val="0"/>
        <w:autoSpaceDN w:val="0"/>
        <w:adjustRightInd w:val="0"/>
        <w:spacing w:after="0" w:line="240" w:lineRule="auto"/>
        <w:ind w:left="0" w:right="0" w:firstLine="0"/>
      </w:pPr>
      <w:r>
        <w:t xml:space="preserve">ერთის მხრივ, </w:t>
      </w:r>
      <w:r w:rsidRPr="00AF2F6D">
        <w:rPr>
          <w:b/>
        </w:rPr>
        <w:t>შპს  „ულტრა სერვისი“</w:t>
      </w:r>
      <w:r w:rsidR="00366390">
        <w:rPr>
          <w:lang w:val="ka-GE"/>
        </w:rPr>
        <w:t>,</w:t>
      </w:r>
      <w:r>
        <w:t xml:space="preserve"> ს/კ</w:t>
      </w:r>
      <w:r w:rsidR="00366390">
        <w:rPr>
          <w:lang w:val="ka-GE"/>
        </w:rPr>
        <w:t>:</w:t>
      </w:r>
      <w:r>
        <w:t xml:space="preserve"> 401945197,</w:t>
      </w:r>
      <w:r w:rsidR="00403844">
        <w:rPr>
          <w:lang w:val="ka-GE"/>
        </w:rPr>
        <w:t xml:space="preserve"> მისამართი: </w:t>
      </w:r>
      <w:r w:rsidR="00366390">
        <w:rPr>
          <w:lang w:val="ka-GE"/>
        </w:rPr>
        <w:t xml:space="preserve">ქ. თბილისი, </w:t>
      </w:r>
      <w:r w:rsidR="00403844">
        <w:rPr>
          <w:lang w:val="ka-GE"/>
        </w:rPr>
        <w:t>დიღმის მასივი</w:t>
      </w:r>
      <w:r w:rsidR="00366390">
        <w:rPr>
          <w:lang w:val="ka-GE"/>
        </w:rPr>
        <w:t>,</w:t>
      </w:r>
      <w:r w:rsidR="00403844">
        <w:rPr>
          <w:lang w:val="ka-GE"/>
        </w:rPr>
        <w:t xml:space="preserve"> </w:t>
      </w:r>
      <w:r w:rsidR="00366390">
        <w:rPr>
          <w:lang w:val="ka-GE"/>
        </w:rPr>
        <w:t>მე-</w:t>
      </w:r>
      <w:r w:rsidR="00403844">
        <w:rPr>
          <w:lang w:val="ka-GE"/>
        </w:rPr>
        <w:t xml:space="preserve">2 კვარტალი 7ბ კორპუსი ბინა 62 , </w:t>
      </w:r>
      <w:r w:rsidR="00366390">
        <w:rPr>
          <w:lang w:val="ka-GE"/>
        </w:rPr>
        <w:t>წარმოდგენილი</w:t>
      </w:r>
      <w:r>
        <w:t xml:space="preserve"> მისი დირექტორის</w:t>
      </w:r>
      <w:r w:rsidR="00366390">
        <w:rPr>
          <w:lang w:val="ka-GE"/>
        </w:rPr>
        <w:t>,</w:t>
      </w:r>
      <w:r>
        <w:t xml:space="preserve"> ნოდარ მაზანაშვილის სახით, შემდგომში “</w:t>
      </w:r>
      <w:r w:rsidR="00C26496">
        <w:rPr>
          <w:lang w:val="ka-GE"/>
        </w:rPr>
        <w:t>გამყიდველი</w:t>
      </w:r>
      <w:r>
        <w:t xml:space="preserve">”და მეორეს მხრივ  </w:t>
      </w:r>
      <w:r w:rsidR="00863103">
        <w:rPr>
          <w:b/>
          <w:bCs/>
          <w:lang w:val="ka-GE"/>
        </w:rPr>
        <w:t>---------------------------</w:t>
      </w:r>
      <w:r w:rsidR="00206C27">
        <w:rPr>
          <w:lang w:val="ka-GE"/>
        </w:rPr>
        <w:t xml:space="preserve"> </w:t>
      </w:r>
      <w:r>
        <w:t xml:space="preserve">, </w:t>
      </w:r>
      <w:r w:rsidR="00403844">
        <w:rPr>
          <w:lang w:val="ka-GE"/>
        </w:rPr>
        <w:t>მისამართი:</w:t>
      </w:r>
      <w:r w:rsidR="00524EA9">
        <w:rPr>
          <w:szCs w:val="20"/>
          <w:lang w:val="ka-GE"/>
        </w:rPr>
        <w:t xml:space="preserve"> </w:t>
      </w:r>
      <w:r w:rsidR="00863103">
        <w:rPr>
          <w:szCs w:val="20"/>
          <w:lang w:val="ka-GE"/>
        </w:rPr>
        <w:t>---------------</w:t>
      </w:r>
      <w:r w:rsidR="00524EA9">
        <w:rPr>
          <w:szCs w:val="20"/>
          <w:lang w:val="ka-GE"/>
        </w:rPr>
        <w:t xml:space="preserve">, </w:t>
      </w:r>
      <w:r w:rsidR="00366390">
        <w:rPr>
          <w:szCs w:val="20"/>
          <w:lang w:val="ka-GE"/>
        </w:rPr>
        <w:t xml:space="preserve">წარმოდგენილი </w:t>
      </w:r>
      <w:r>
        <w:t xml:space="preserve">მისი </w:t>
      </w:r>
      <w:r w:rsidR="00366390">
        <w:rPr>
          <w:lang w:val="ka-GE"/>
        </w:rPr>
        <w:t xml:space="preserve">მთავარი აღმასრულებელი </w:t>
      </w:r>
      <w:r w:rsidR="00863103">
        <w:rPr>
          <w:lang w:val="ka-GE"/>
        </w:rPr>
        <w:t>დირექტორის------</w:t>
      </w:r>
      <w:r w:rsidR="00563494">
        <w:rPr>
          <w:b/>
          <w:bCs/>
          <w:lang w:val="ka-GE"/>
        </w:rPr>
        <w:t xml:space="preserve"> </w:t>
      </w:r>
      <w:r w:rsidR="0096484F">
        <w:rPr>
          <w:b/>
          <w:bCs/>
        </w:rPr>
        <w:t xml:space="preserve"> (</w:t>
      </w:r>
      <w:r w:rsidR="0096484F">
        <w:rPr>
          <w:b/>
          <w:bCs/>
          <w:lang w:val="ka-GE"/>
        </w:rPr>
        <w:t xml:space="preserve">პ/ნ </w:t>
      </w:r>
      <w:r w:rsidR="00863103">
        <w:rPr>
          <w:b/>
          <w:bCs/>
          <w:lang w:val="ka-GE"/>
        </w:rPr>
        <w:t>------</w:t>
      </w:r>
      <w:r w:rsidR="0096484F">
        <w:rPr>
          <w:b/>
          <w:bCs/>
          <w:lang w:val="ka-GE"/>
        </w:rPr>
        <w:t>)</w:t>
      </w:r>
      <w:r w:rsidR="00CF2D89">
        <w:rPr>
          <w:b/>
          <w:bCs/>
          <w:lang w:val="ka-GE"/>
        </w:rPr>
        <w:t xml:space="preserve"> </w:t>
      </w:r>
      <w:r w:rsidR="00524EA9">
        <w:rPr>
          <w:lang w:val="ka-GE"/>
        </w:rPr>
        <w:t>სახით</w:t>
      </w:r>
      <w:r>
        <w:t xml:space="preserve"> ,  შემდგომში “</w:t>
      </w:r>
      <w:r w:rsidR="00C26496">
        <w:rPr>
          <w:lang w:val="ka-GE"/>
        </w:rPr>
        <w:t>მყიდველი</w:t>
      </w:r>
      <w:r>
        <w:t xml:space="preserve">”, ვთანხმდებით შემდეგზე: </w:t>
      </w:r>
    </w:p>
    <w:p w14:paraId="64EDFB2F" w14:textId="77777777" w:rsidR="00366390" w:rsidRPr="00CF2D89" w:rsidRDefault="00366390" w:rsidP="00CF2D89">
      <w:pPr>
        <w:autoSpaceDE w:val="0"/>
        <w:autoSpaceDN w:val="0"/>
        <w:adjustRightInd w:val="0"/>
        <w:spacing w:after="0" w:line="240" w:lineRule="auto"/>
        <w:ind w:left="0" w:right="0" w:firstLine="0"/>
        <w:jc w:val="left"/>
        <w:rPr>
          <w:rFonts w:ascii="DejaVuSans" w:eastAsiaTheme="minorEastAsia" w:hAnsi="DejaVuSans" w:cs="DejaVuSans"/>
          <w:color w:val="auto"/>
          <w:sz w:val="22"/>
        </w:rPr>
      </w:pPr>
    </w:p>
    <w:p w14:paraId="04B96AA6" w14:textId="77777777" w:rsidR="00DC3868" w:rsidRPr="002F5652" w:rsidRDefault="002C3A60">
      <w:pPr>
        <w:numPr>
          <w:ilvl w:val="0"/>
          <w:numId w:val="1"/>
        </w:numPr>
        <w:ind w:right="0" w:hanging="202"/>
        <w:rPr>
          <w:b/>
          <w:bCs/>
        </w:rPr>
      </w:pPr>
      <w:r w:rsidRPr="002F5652">
        <w:rPr>
          <w:b/>
          <w:bCs/>
        </w:rPr>
        <w:t xml:space="preserve">ხელშეკრულების საგანი </w:t>
      </w:r>
    </w:p>
    <w:p w14:paraId="583D0B37" w14:textId="7FA27181" w:rsidR="00DC3868" w:rsidRPr="001D742E" w:rsidRDefault="00F365FF" w:rsidP="00366390">
      <w:pPr>
        <w:numPr>
          <w:ilvl w:val="1"/>
          <w:numId w:val="1"/>
        </w:numPr>
        <w:tabs>
          <w:tab w:val="left" w:pos="360"/>
        </w:tabs>
        <w:ind w:left="0" w:right="0" w:firstLine="0"/>
        <w:rPr>
          <w:lang w:val="ka-GE"/>
        </w:rPr>
      </w:pPr>
      <w:r>
        <w:rPr>
          <w:lang w:val="ka-GE"/>
        </w:rPr>
        <w:t xml:space="preserve">  </w:t>
      </w:r>
      <w:r w:rsidR="00C26496">
        <w:rPr>
          <w:lang w:val="ka-GE"/>
        </w:rPr>
        <w:t>მყიდველი</w:t>
      </w:r>
      <w:r w:rsidR="00C26496" w:rsidRPr="00366390">
        <w:rPr>
          <w:lang w:val="ka-GE"/>
        </w:rPr>
        <w:t xml:space="preserve"> </w:t>
      </w:r>
      <w:r w:rsidR="00C26496">
        <w:rPr>
          <w:lang w:val="ka-GE"/>
        </w:rPr>
        <w:t>ყიდულობს</w:t>
      </w:r>
      <w:r w:rsidR="002C3A60" w:rsidRPr="00366390">
        <w:rPr>
          <w:lang w:val="ka-GE"/>
        </w:rPr>
        <w:t xml:space="preserve">, ხოლო </w:t>
      </w:r>
      <w:r w:rsidR="00C26496">
        <w:rPr>
          <w:lang w:val="ka-GE"/>
        </w:rPr>
        <w:t>გამყიდველი</w:t>
      </w:r>
      <w:r w:rsidR="00C26496" w:rsidRPr="00366390">
        <w:rPr>
          <w:lang w:val="ka-GE"/>
        </w:rPr>
        <w:t xml:space="preserve"> </w:t>
      </w:r>
      <w:r w:rsidR="002C3A60" w:rsidRPr="00366390">
        <w:rPr>
          <w:lang w:val="ka-GE"/>
        </w:rPr>
        <w:t>იღებს ვალდებულებას წინამდებარე ხელშეკრულებით განსაზღვრული პირობებით მიაწოდოს</w:t>
      </w:r>
      <w:r w:rsidR="00356B56">
        <w:rPr>
          <w:lang w:val="ka-GE"/>
        </w:rPr>
        <w:t xml:space="preserve"> </w:t>
      </w:r>
      <w:r w:rsidR="00C26496">
        <w:rPr>
          <w:lang w:val="ka-GE"/>
        </w:rPr>
        <w:t>და საკუთრებაში გადასცეს მყიდველს</w:t>
      </w:r>
      <w:r w:rsidR="002C3A60" w:rsidRPr="00366390">
        <w:rPr>
          <w:lang w:val="ka-GE"/>
        </w:rPr>
        <w:t xml:space="preserve"> კომპანია </w:t>
      </w:r>
      <w:r w:rsidR="00563494" w:rsidRPr="00366390">
        <w:rPr>
          <w:b/>
          <w:bCs/>
          <w:lang w:val="ka-GE"/>
        </w:rPr>
        <w:t>Starlink Services</w:t>
      </w:r>
      <w:r w:rsidR="00563494">
        <w:rPr>
          <w:b/>
          <w:bCs/>
          <w:lang w:val="ka-GE"/>
        </w:rPr>
        <w:t xml:space="preserve"> </w:t>
      </w:r>
      <w:r w:rsidR="00563494" w:rsidRPr="00366390">
        <w:rPr>
          <w:b/>
          <w:bCs/>
          <w:lang w:val="ka-GE"/>
        </w:rPr>
        <w:t>LLC</w:t>
      </w:r>
      <w:r w:rsidR="00AF2F6D">
        <w:rPr>
          <w:b/>
          <w:bCs/>
          <w:lang w:val="ka-GE"/>
        </w:rPr>
        <w:t xml:space="preserve"> </w:t>
      </w:r>
      <w:bookmarkStart w:id="0" w:name="_Hlk197771781"/>
      <w:r w:rsidR="00AF2F6D">
        <w:rPr>
          <w:b/>
          <w:bCs/>
          <w:lang w:val="ka-GE"/>
        </w:rPr>
        <w:t xml:space="preserve">(ფედერალური ნომერი </w:t>
      </w:r>
      <w:r w:rsidR="007E63A1">
        <w:rPr>
          <w:rStyle w:val="Strong"/>
        </w:rPr>
        <w:t>EIN:</w:t>
      </w:r>
      <w:r w:rsidR="007E63A1">
        <w:t xml:space="preserve"> </w:t>
      </w:r>
      <w:r w:rsidR="007E63A1">
        <w:rPr>
          <w:rStyle w:val="relative"/>
        </w:rPr>
        <w:t>47-4924858</w:t>
      </w:r>
      <w:r w:rsidR="007E63A1">
        <w:rPr>
          <w:rStyle w:val="relative"/>
          <w:lang w:val="ka-GE"/>
        </w:rPr>
        <w:t xml:space="preserve"> </w:t>
      </w:r>
      <w:r w:rsidR="0086523C">
        <w:rPr>
          <w:color w:val="1F3864" w:themeColor="accent1" w:themeShade="80"/>
          <w:lang w:val="ka-GE"/>
        </w:rPr>
        <w:t>)-</w:t>
      </w:r>
      <w:r w:rsidR="002C3A60" w:rsidRPr="00366390">
        <w:rPr>
          <w:lang w:val="ka-GE"/>
        </w:rPr>
        <w:t>ს</w:t>
      </w:r>
      <w:r w:rsidR="0055009C">
        <w:rPr>
          <w:lang w:val="ka-GE"/>
        </w:rPr>
        <w:t xml:space="preserve">, </w:t>
      </w:r>
      <w:bookmarkEnd w:id="0"/>
      <w:r w:rsidR="0055009C">
        <w:rPr>
          <w:lang w:val="ka-GE"/>
        </w:rPr>
        <w:t>წინამდებარე ხელშეკრულებით გათვალისწინებული</w:t>
      </w:r>
      <w:r w:rsidR="002C3A60" w:rsidRPr="00366390">
        <w:rPr>
          <w:lang w:val="ka-GE"/>
        </w:rPr>
        <w:t xml:space="preserve"> პროდუქცია, რის შემდეგაც </w:t>
      </w:r>
      <w:r w:rsidR="00563494">
        <w:rPr>
          <w:lang w:val="ka-GE"/>
        </w:rPr>
        <w:t>დამკვეთი</w:t>
      </w:r>
      <w:r w:rsidR="002C3A60" w:rsidRPr="00366390">
        <w:rPr>
          <w:lang w:val="ka-GE"/>
        </w:rPr>
        <w:t xml:space="preserve"> ისარგებლებს კომპანია</w:t>
      </w:r>
      <w:r w:rsidR="002C3A60" w:rsidRPr="00366390">
        <w:rPr>
          <w:b/>
          <w:bCs/>
          <w:lang w:val="ka-GE"/>
        </w:rPr>
        <w:t xml:space="preserve"> </w:t>
      </w:r>
      <w:r w:rsidR="00563494" w:rsidRPr="00366390">
        <w:rPr>
          <w:b/>
          <w:bCs/>
          <w:lang w:val="ka-GE"/>
        </w:rPr>
        <w:t>Starlink Services</w:t>
      </w:r>
      <w:r w:rsidR="00563494">
        <w:rPr>
          <w:b/>
          <w:bCs/>
          <w:lang w:val="ka-GE"/>
        </w:rPr>
        <w:t xml:space="preserve"> </w:t>
      </w:r>
      <w:r w:rsidR="00563494" w:rsidRPr="00366390">
        <w:rPr>
          <w:b/>
          <w:bCs/>
          <w:lang w:val="ka-GE"/>
        </w:rPr>
        <w:t>LLC</w:t>
      </w:r>
      <w:r w:rsidR="002C3A60" w:rsidRPr="00366390">
        <w:rPr>
          <w:lang w:val="ka-GE"/>
        </w:rPr>
        <w:t xml:space="preserve"> -ის</w:t>
      </w:r>
      <w:r w:rsidR="00563494" w:rsidRPr="00366390">
        <w:rPr>
          <w:lang w:val="ka-GE"/>
        </w:rPr>
        <w:t xml:space="preserve"> </w:t>
      </w:r>
      <w:r w:rsidR="00206C27">
        <w:rPr>
          <w:lang w:val="ka-GE"/>
        </w:rPr>
        <w:t>ინტერნეტ სერვის</w:t>
      </w:r>
      <w:r w:rsidR="00A63053">
        <w:rPr>
          <w:lang w:val="ka-GE"/>
        </w:rPr>
        <w:t>ით</w:t>
      </w:r>
      <w:r w:rsidR="00A63053" w:rsidRPr="00366390">
        <w:rPr>
          <w:lang w:val="ka-GE"/>
        </w:rPr>
        <w:t xml:space="preserve">, </w:t>
      </w:r>
      <w:r w:rsidR="00A63053">
        <w:rPr>
          <w:lang w:val="ka-GE"/>
        </w:rPr>
        <w:t xml:space="preserve">რომლის მიწოდების მომსახურებას ახორციელებს </w:t>
      </w:r>
      <w:r w:rsidR="0055009C">
        <w:rPr>
          <w:lang w:val="ka-GE"/>
        </w:rPr>
        <w:t>შემსრულებელი</w:t>
      </w:r>
      <w:r w:rsidR="00FF367E">
        <w:rPr>
          <w:lang w:val="ka-GE"/>
        </w:rPr>
        <w:t>.</w:t>
      </w:r>
    </w:p>
    <w:p w14:paraId="34F2827F" w14:textId="01AE615A" w:rsidR="001D742E" w:rsidRDefault="001D742E" w:rsidP="00366390">
      <w:pPr>
        <w:numPr>
          <w:ilvl w:val="1"/>
          <w:numId w:val="1"/>
        </w:numPr>
        <w:tabs>
          <w:tab w:val="left" w:pos="360"/>
        </w:tabs>
        <w:ind w:left="0" w:right="0" w:firstLine="0"/>
        <w:rPr>
          <w:lang w:val="ka-GE"/>
        </w:rPr>
      </w:pPr>
      <w:r>
        <w:rPr>
          <w:lang w:val="ka-GE"/>
        </w:rPr>
        <w:t>საქონლის</w:t>
      </w:r>
      <w:r w:rsidR="00FF367E">
        <w:rPr>
          <w:lang w:val="ka-GE"/>
        </w:rPr>
        <w:t xml:space="preserve"> </w:t>
      </w:r>
      <w:r>
        <w:rPr>
          <w:lang w:val="ka-GE"/>
        </w:rPr>
        <w:t>დასახელება და დეტალური მახასიათებლები განსაზღვრულია წინამდებარე ხელშეკრულების დანართი N1-ით.</w:t>
      </w:r>
    </w:p>
    <w:p w14:paraId="02922E3F" w14:textId="600341E0" w:rsidR="00356B56" w:rsidRDefault="00FF367E" w:rsidP="00366390">
      <w:pPr>
        <w:numPr>
          <w:ilvl w:val="1"/>
          <w:numId w:val="1"/>
        </w:numPr>
        <w:tabs>
          <w:tab w:val="left" w:pos="360"/>
        </w:tabs>
        <w:ind w:left="0" w:right="0" w:firstLine="0"/>
        <w:rPr>
          <w:lang w:val="ka-GE"/>
        </w:rPr>
      </w:pPr>
      <w:r>
        <w:rPr>
          <w:lang w:val="ka-GE"/>
        </w:rPr>
        <w:t>მყიდველი</w:t>
      </w:r>
      <w:r w:rsidR="00356B56">
        <w:rPr>
          <w:lang w:val="ka-GE"/>
        </w:rPr>
        <w:t xml:space="preserve"> ვალდებულია ხელშეკრულების პირობების შესაბამისად მიიღოს </w:t>
      </w:r>
      <w:r>
        <w:rPr>
          <w:lang w:val="ka-GE"/>
        </w:rPr>
        <w:t>გამყიდველისგან</w:t>
      </w:r>
      <w:r w:rsidR="00356B56">
        <w:rPr>
          <w:lang w:val="ka-GE"/>
        </w:rPr>
        <w:t xml:space="preserve"> საქონელი</w:t>
      </w:r>
      <w:r>
        <w:rPr>
          <w:lang w:val="ka-GE"/>
        </w:rPr>
        <w:t xml:space="preserve"> </w:t>
      </w:r>
      <w:r w:rsidR="00356B56">
        <w:rPr>
          <w:lang w:val="ka-GE"/>
        </w:rPr>
        <w:t>და გადაუხადოს მას წინამდებარე ხელშეკრულებით გათვალისწინებული საქონლის</w:t>
      </w:r>
      <w:r>
        <w:rPr>
          <w:lang w:val="ka-GE"/>
        </w:rPr>
        <w:t xml:space="preserve"> </w:t>
      </w:r>
      <w:r w:rsidR="00356B56">
        <w:rPr>
          <w:lang w:val="ka-GE"/>
        </w:rPr>
        <w:t>ღირებულება.</w:t>
      </w:r>
    </w:p>
    <w:p w14:paraId="258B9411" w14:textId="4FE3394D" w:rsidR="006030DE" w:rsidRDefault="006030DE" w:rsidP="00366390">
      <w:pPr>
        <w:numPr>
          <w:ilvl w:val="1"/>
          <w:numId w:val="1"/>
        </w:numPr>
        <w:tabs>
          <w:tab w:val="left" w:pos="360"/>
        </w:tabs>
        <w:ind w:left="0" w:right="0" w:firstLine="0"/>
        <w:rPr>
          <w:lang w:val="ka-GE"/>
        </w:rPr>
      </w:pPr>
      <w:r>
        <w:rPr>
          <w:lang w:val="ka-GE"/>
        </w:rPr>
        <w:t xml:space="preserve">წინამდებარე ხელშეკრულებით განსაზღვრული საქონლის </w:t>
      </w:r>
      <w:r w:rsidRPr="006A23C9">
        <w:rPr>
          <w:b/>
          <w:bCs/>
          <w:color w:val="000000" w:themeColor="text1"/>
          <w:lang w:val="ka-GE"/>
        </w:rPr>
        <w:t>მიწოდების</w:t>
      </w:r>
      <w:r w:rsidR="00882599" w:rsidRPr="006A23C9">
        <w:rPr>
          <w:b/>
          <w:bCs/>
          <w:color w:val="000000" w:themeColor="text1"/>
          <w:lang w:val="ka-GE"/>
        </w:rPr>
        <w:t xml:space="preserve"> - ინსტალაციის</w:t>
      </w:r>
      <w:r w:rsidR="00FF367E" w:rsidRPr="006A23C9">
        <w:rPr>
          <w:color w:val="000000" w:themeColor="text1"/>
          <w:lang w:val="ka-GE"/>
        </w:rPr>
        <w:t xml:space="preserve"> </w:t>
      </w:r>
      <w:r>
        <w:rPr>
          <w:lang w:val="ka-GE"/>
        </w:rPr>
        <w:t xml:space="preserve">ადგილია </w:t>
      </w:r>
      <w:r w:rsidR="00863103">
        <w:rPr>
          <w:lang w:val="ka-GE"/>
        </w:rPr>
        <w:t>--------------------</w:t>
      </w:r>
    </w:p>
    <w:p w14:paraId="1466C99C" w14:textId="4CA9B4D8" w:rsidR="00356B56" w:rsidRPr="001D742E" w:rsidRDefault="00356B56" w:rsidP="00366390">
      <w:pPr>
        <w:numPr>
          <w:ilvl w:val="1"/>
          <w:numId w:val="1"/>
        </w:numPr>
        <w:tabs>
          <w:tab w:val="left" w:pos="360"/>
        </w:tabs>
        <w:ind w:left="0" w:right="0" w:firstLine="0"/>
        <w:rPr>
          <w:lang w:val="ka-GE"/>
        </w:rPr>
      </w:pPr>
      <w:r>
        <w:rPr>
          <w:lang w:val="ka-GE"/>
        </w:rPr>
        <w:t>ხელშეკრულების სხვა დეტალები, რაც არ იქნება შეთანხმებული ხელშეკრულების დადების მომენტამდე, შესაძლოა დაზუსტდეს მხარეთა შორის წინამდებარე ხელშეკრულებით განსაზღვრული ელექტრონული ფოსტის ან სხვა საკომუნიკაციო საშუალების მეშვეობით განხორციელებული კომუნიკაციით.</w:t>
      </w:r>
    </w:p>
    <w:p w14:paraId="18544FB1" w14:textId="136C7FC5" w:rsidR="00DC3868" w:rsidRPr="00882599" w:rsidRDefault="00356B56" w:rsidP="00366390">
      <w:pPr>
        <w:numPr>
          <w:ilvl w:val="0"/>
          <w:numId w:val="1"/>
        </w:numPr>
        <w:tabs>
          <w:tab w:val="left" w:pos="360"/>
        </w:tabs>
        <w:ind w:left="0" w:right="0" w:firstLine="0"/>
        <w:rPr>
          <w:b/>
          <w:bCs/>
        </w:rPr>
      </w:pPr>
      <w:r w:rsidRPr="00882599">
        <w:rPr>
          <w:b/>
          <w:bCs/>
          <w:lang w:val="ka-GE"/>
        </w:rPr>
        <w:t>საქონლის მიწოდების</w:t>
      </w:r>
      <w:r w:rsidR="00FF367E" w:rsidRPr="00882599">
        <w:rPr>
          <w:b/>
          <w:bCs/>
          <w:lang w:val="ka-GE"/>
        </w:rPr>
        <w:t xml:space="preserve"> </w:t>
      </w:r>
      <w:r w:rsidRPr="00882599">
        <w:rPr>
          <w:b/>
          <w:bCs/>
          <w:lang w:val="ka-GE"/>
        </w:rPr>
        <w:t>პირობები</w:t>
      </w:r>
      <w:r w:rsidR="002C3A60" w:rsidRPr="00882599">
        <w:rPr>
          <w:b/>
          <w:bCs/>
        </w:rPr>
        <w:t xml:space="preserve"> </w:t>
      </w:r>
    </w:p>
    <w:p w14:paraId="182E1462" w14:textId="20C03436" w:rsidR="00DC3868" w:rsidRDefault="00FF367E" w:rsidP="00366390">
      <w:pPr>
        <w:numPr>
          <w:ilvl w:val="1"/>
          <w:numId w:val="1"/>
        </w:numPr>
        <w:tabs>
          <w:tab w:val="left" w:pos="360"/>
        </w:tabs>
        <w:ind w:left="0" w:right="0" w:firstLine="0"/>
      </w:pPr>
      <w:r>
        <w:rPr>
          <w:lang w:val="ka-GE"/>
        </w:rPr>
        <w:t>გამყიდველი</w:t>
      </w:r>
      <w:r>
        <w:t xml:space="preserve"> </w:t>
      </w:r>
      <w:r w:rsidR="00667154">
        <w:t>კისრულ</w:t>
      </w:r>
      <w:r w:rsidR="00356B56">
        <w:rPr>
          <w:lang w:val="ka-GE"/>
        </w:rPr>
        <w:t>ო</w:t>
      </w:r>
      <w:r w:rsidR="00667154">
        <w:t xml:space="preserve">ბს ვალდებულებას </w:t>
      </w:r>
      <w:r>
        <w:rPr>
          <w:lang w:val="ka-GE"/>
        </w:rPr>
        <w:t>მყიდველს</w:t>
      </w:r>
      <w:r w:rsidR="00667154">
        <w:t xml:space="preserve"> </w:t>
      </w:r>
      <w:r w:rsidR="00356B56">
        <w:rPr>
          <w:lang w:val="ka-GE"/>
        </w:rPr>
        <w:t xml:space="preserve">საქონელი მიაწოდოს და საკუთრებაში გადასცეს წინამდებარე ხელშეკრულების გაფორმებიდან </w:t>
      </w:r>
      <w:r w:rsidR="00795C78">
        <w:rPr>
          <w:lang w:val="ka-GE"/>
        </w:rPr>
        <w:t xml:space="preserve">10 (ათი)სამუშაო დღის </w:t>
      </w:r>
      <w:r w:rsidR="00356B56">
        <w:rPr>
          <w:lang w:val="ka-GE"/>
        </w:rPr>
        <w:t>ვადაში.</w:t>
      </w:r>
    </w:p>
    <w:p w14:paraId="709039F5" w14:textId="69411C0E" w:rsidR="00356B56" w:rsidRPr="001D742E" w:rsidRDefault="00F46AEA" w:rsidP="00366390">
      <w:pPr>
        <w:numPr>
          <w:ilvl w:val="1"/>
          <w:numId w:val="1"/>
        </w:numPr>
        <w:tabs>
          <w:tab w:val="left" w:pos="360"/>
        </w:tabs>
        <w:ind w:left="0" w:right="0" w:firstLine="0"/>
      </w:pPr>
      <w:r>
        <w:rPr>
          <w:lang w:val="ka-GE"/>
        </w:rPr>
        <w:t>გამყიდველის</w:t>
      </w:r>
      <w:r w:rsidR="00CE330D">
        <w:rPr>
          <w:lang w:val="ka-GE"/>
        </w:rPr>
        <w:t xml:space="preserve"> მიერ </w:t>
      </w:r>
      <w:r>
        <w:rPr>
          <w:lang w:val="ka-GE"/>
        </w:rPr>
        <w:t>მყიდველისთვის</w:t>
      </w:r>
      <w:r w:rsidR="00CE330D">
        <w:rPr>
          <w:lang w:val="ka-GE"/>
        </w:rPr>
        <w:t xml:space="preserve"> საქონლის მიწოდების</w:t>
      </w:r>
      <w:r>
        <w:rPr>
          <w:lang w:val="ka-GE"/>
        </w:rPr>
        <w:t xml:space="preserve"> </w:t>
      </w:r>
      <w:r w:rsidR="00CE330D">
        <w:rPr>
          <w:lang w:val="ka-GE"/>
        </w:rPr>
        <w:t xml:space="preserve">შემდეგ მხარეთა შორის ფორმდება შესაბამისი მიღება-ჩაბარების აქტი, რომლითაც მხარეები ადასტურებენ ხელშეკრულების საფუძველზე </w:t>
      </w:r>
      <w:r>
        <w:rPr>
          <w:lang w:val="ka-GE"/>
        </w:rPr>
        <w:t>გამყიდველის</w:t>
      </w:r>
      <w:r w:rsidR="00CE330D">
        <w:rPr>
          <w:lang w:val="ka-GE"/>
        </w:rPr>
        <w:t xml:space="preserve"> მიერ </w:t>
      </w:r>
      <w:r>
        <w:rPr>
          <w:lang w:val="ka-GE"/>
        </w:rPr>
        <w:t>მყიდველისთვის</w:t>
      </w:r>
      <w:r w:rsidR="00CE330D">
        <w:rPr>
          <w:lang w:val="ka-GE"/>
        </w:rPr>
        <w:t xml:space="preserve"> საქონლის ფაქტობრივად მიწოდების</w:t>
      </w:r>
      <w:r>
        <w:rPr>
          <w:lang w:val="ka-GE"/>
        </w:rPr>
        <w:t xml:space="preserve"> </w:t>
      </w:r>
      <w:r w:rsidR="00CE330D">
        <w:rPr>
          <w:lang w:val="ka-GE"/>
        </w:rPr>
        <w:t xml:space="preserve">ფაქტს. </w:t>
      </w:r>
    </w:p>
    <w:p w14:paraId="6329A878" w14:textId="5131BD45" w:rsidR="00AF36DF" w:rsidRPr="001D742E" w:rsidRDefault="00AF36DF" w:rsidP="00366390">
      <w:pPr>
        <w:numPr>
          <w:ilvl w:val="1"/>
          <w:numId w:val="1"/>
        </w:numPr>
        <w:tabs>
          <w:tab w:val="left" w:pos="360"/>
        </w:tabs>
        <w:ind w:left="0" w:right="0" w:firstLine="0"/>
      </w:pPr>
      <w:r>
        <w:rPr>
          <w:lang w:val="ka-GE"/>
        </w:rPr>
        <w:t xml:space="preserve">იმ შემთხვევაში, თუ საქონლის მიწოდებისას გამოვლინდება საქონლის ნაკლი, </w:t>
      </w:r>
      <w:r w:rsidR="00F46AEA">
        <w:rPr>
          <w:lang w:val="ka-GE"/>
        </w:rPr>
        <w:t>გამყიდველი</w:t>
      </w:r>
      <w:r>
        <w:rPr>
          <w:lang w:val="ka-GE"/>
        </w:rPr>
        <w:t xml:space="preserve"> ვალდებულია </w:t>
      </w:r>
      <w:r w:rsidR="00F46AEA">
        <w:rPr>
          <w:lang w:val="ka-GE"/>
        </w:rPr>
        <w:t>მყიდველის</w:t>
      </w:r>
      <w:r>
        <w:rPr>
          <w:lang w:val="ka-GE"/>
        </w:rPr>
        <w:t xml:space="preserve"> მიერ განსაზღვრულ ვადაში</w:t>
      </w:r>
      <w:r w:rsidR="009921D9">
        <w:rPr>
          <w:lang w:val="ka-GE"/>
        </w:rPr>
        <w:t xml:space="preserve"> </w:t>
      </w:r>
      <w:r w:rsidR="009921D9" w:rsidRPr="006A23C9">
        <w:rPr>
          <w:b/>
          <w:bCs/>
          <w:color w:val="000000" w:themeColor="text1"/>
          <w:lang w:val="ka-GE"/>
        </w:rPr>
        <w:t>(არაუმეტეს 3  დღის)</w:t>
      </w:r>
      <w:r w:rsidRPr="006A23C9">
        <w:rPr>
          <w:b/>
          <w:bCs/>
          <w:color w:val="000000" w:themeColor="text1"/>
          <w:lang w:val="ka-GE"/>
        </w:rPr>
        <w:t xml:space="preserve">, </w:t>
      </w:r>
      <w:r>
        <w:rPr>
          <w:lang w:val="ka-GE"/>
        </w:rPr>
        <w:t xml:space="preserve">უსასყიდლოდ, საკუთარი ხარჯით, </w:t>
      </w:r>
      <w:r w:rsidR="00F46AEA">
        <w:rPr>
          <w:lang w:val="ka-GE"/>
        </w:rPr>
        <w:t>მყიდველის</w:t>
      </w:r>
      <w:r>
        <w:rPr>
          <w:lang w:val="ka-GE"/>
        </w:rPr>
        <w:t xml:space="preserve"> მოთხოვნისამებრ, შეაკეთოს ან ჩაანაცვლოს ახალი, იმავე მახასიათებლების მქონე საქონლით. </w:t>
      </w:r>
    </w:p>
    <w:p w14:paraId="16D18BDA" w14:textId="7FCDDED2" w:rsidR="00AF36DF" w:rsidRPr="00014AEA" w:rsidRDefault="00F46AEA" w:rsidP="00366390">
      <w:pPr>
        <w:numPr>
          <w:ilvl w:val="1"/>
          <w:numId w:val="1"/>
        </w:numPr>
        <w:tabs>
          <w:tab w:val="left" w:pos="360"/>
        </w:tabs>
        <w:ind w:left="0" w:right="0" w:firstLine="0"/>
      </w:pPr>
      <w:r>
        <w:rPr>
          <w:lang w:val="ka-GE"/>
        </w:rPr>
        <w:t>გამყიდველი</w:t>
      </w:r>
      <w:r w:rsidR="00AF36DF">
        <w:rPr>
          <w:lang w:val="ka-GE"/>
        </w:rPr>
        <w:t xml:space="preserve"> ვალდებულია </w:t>
      </w:r>
      <w:r>
        <w:rPr>
          <w:lang w:val="ka-GE"/>
        </w:rPr>
        <w:t>მყიდველს</w:t>
      </w:r>
      <w:r w:rsidR="00AF36DF">
        <w:rPr>
          <w:lang w:val="ka-GE"/>
        </w:rPr>
        <w:t xml:space="preserve"> საქონელთან ერთად, წერილობითი სახით მიაწოდოს რეკომენდაციები საქონლის უსაფრთხო ექსპლუატაციის თაობაზე.</w:t>
      </w:r>
    </w:p>
    <w:p w14:paraId="740F6D0A" w14:textId="0ED70BA7" w:rsidR="002C3A60" w:rsidRDefault="002C3A60" w:rsidP="00366390">
      <w:pPr>
        <w:tabs>
          <w:tab w:val="left" w:pos="360"/>
        </w:tabs>
        <w:spacing w:after="17" w:line="259" w:lineRule="auto"/>
        <w:ind w:left="0" w:right="0" w:firstLine="0"/>
        <w:jc w:val="left"/>
      </w:pPr>
    </w:p>
    <w:p w14:paraId="6AE6B23F" w14:textId="77777777" w:rsidR="002C3A60" w:rsidRDefault="002C3A60" w:rsidP="00366390">
      <w:pPr>
        <w:tabs>
          <w:tab w:val="left" w:pos="360"/>
        </w:tabs>
        <w:spacing w:after="17" w:line="259" w:lineRule="auto"/>
        <w:ind w:left="0" w:right="0" w:firstLine="0"/>
        <w:jc w:val="left"/>
      </w:pPr>
    </w:p>
    <w:p w14:paraId="58B2B0FB" w14:textId="2CE2514B" w:rsidR="00DC3868" w:rsidRPr="002F5652" w:rsidRDefault="002C3A60" w:rsidP="00366390">
      <w:pPr>
        <w:numPr>
          <w:ilvl w:val="0"/>
          <w:numId w:val="1"/>
        </w:numPr>
        <w:tabs>
          <w:tab w:val="left" w:pos="360"/>
        </w:tabs>
        <w:ind w:left="0" w:right="0" w:firstLine="0"/>
        <w:rPr>
          <w:b/>
          <w:bCs/>
        </w:rPr>
      </w:pPr>
      <w:r w:rsidRPr="002F5652">
        <w:rPr>
          <w:b/>
          <w:bCs/>
        </w:rPr>
        <w:t xml:space="preserve">ხელშეკრულების ფასი და ანგარიშსწორება </w:t>
      </w:r>
    </w:p>
    <w:p w14:paraId="5A3C82F8" w14:textId="3E665136" w:rsidR="00DC3868" w:rsidRDefault="002C3A60" w:rsidP="00366390">
      <w:pPr>
        <w:numPr>
          <w:ilvl w:val="1"/>
          <w:numId w:val="1"/>
        </w:numPr>
        <w:tabs>
          <w:tab w:val="left" w:pos="360"/>
        </w:tabs>
        <w:ind w:left="0" w:right="0" w:firstLine="0"/>
      </w:pPr>
      <w:r>
        <w:t xml:space="preserve">ხელშეკრულებით განსაზღვრული </w:t>
      </w:r>
      <w:r w:rsidR="001D742E">
        <w:rPr>
          <w:lang w:val="ka-GE"/>
        </w:rPr>
        <w:t>საქონლის</w:t>
      </w:r>
      <w:r>
        <w:t xml:space="preserve"> ღირებულება შეადგენს  </w:t>
      </w:r>
      <w:r w:rsidR="001D742E">
        <w:rPr>
          <w:lang w:val="ka-GE"/>
        </w:rPr>
        <w:t>5 500</w:t>
      </w:r>
      <w:r w:rsidR="001D742E">
        <w:t xml:space="preserve">  </w:t>
      </w:r>
      <w:r>
        <w:t>(</w:t>
      </w:r>
      <w:r w:rsidR="001D742E">
        <w:rPr>
          <w:lang w:val="ka-GE"/>
        </w:rPr>
        <w:t>ხუთი ათას ხუთასი</w:t>
      </w:r>
      <w:r>
        <w:t>) ლარს</w:t>
      </w:r>
      <w:r w:rsidR="00882599">
        <w:rPr>
          <w:lang w:val="ka-GE"/>
        </w:rPr>
        <w:t xml:space="preserve"> </w:t>
      </w:r>
      <w:r w:rsidR="00F464F6">
        <w:rPr>
          <w:lang w:val="ka-GE"/>
        </w:rPr>
        <w:t>საქართველოს კანონმდებლობით გათვალისწინებული ყველა გადასახადის ჩათვლით</w:t>
      </w:r>
      <w:r>
        <w:t xml:space="preserve"> </w:t>
      </w:r>
      <w:r w:rsidR="001D742E">
        <w:rPr>
          <w:lang w:val="ka-GE"/>
        </w:rPr>
        <w:t>(</w:t>
      </w:r>
      <w:r w:rsidR="00F464F6">
        <w:rPr>
          <w:lang w:val="ka-GE"/>
        </w:rPr>
        <w:t xml:space="preserve">იმის გათვალისწინებით, რომ </w:t>
      </w:r>
      <w:r w:rsidR="00403844">
        <w:rPr>
          <w:lang w:val="ka-GE"/>
        </w:rPr>
        <w:t>შემსრულებელი არ წამოადგენს დღგ-ს გადამახდელს.</w:t>
      </w:r>
    </w:p>
    <w:p w14:paraId="5B763817" w14:textId="54DC2C2C" w:rsidR="001D742E" w:rsidRPr="006A23C9" w:rsidRDefault="001D742E" w:rsidP="00366390">
      <w:pPr>
        <w:numPr>
          <w:ilvl w:val="1"/>
          <w:numId w:val="1"/>
        </w:numPr>
        <w:tabs>
          <w:tab w:val="left" w:pos="360"/>
        </w:tabs>
        <w:ind w:left="0" w:right="0" w:firstLine="0"/>
        <w:rPr>
          <w:b/>
          <w:bCs/>
          <w:color w:val="000000" w:themeColor="text1"/>
        </w:rPr>
      </w:pPr>
      <w:r w:rsidRPr="006A23C9">
        <w:rPr>
          <w:b/>
          <w:bCs/>
          <w:color w:val="000000" w:themeColor="text1"/>
          <w:lang w:val="ka-GE"/>
        </w:rPr>
        <w:t>წინამდებარე ხელშეკრულებით გათვალისწინებული საქონლის</w:t>
      </w:r>
      <w:r w:rsidR="00F464F6" w:rsidRPr="006A23C9">
        <w:rPr>
          <w:b/>
          <w:bCs/>
          <w:color w:val="000000" w:themeColor="text1"/>
          <w:lang w:val="ka-GE"/>
        </w:rPr>
        <w:t xml:space="preserve"> </w:t>
      </w:r>
      <w:r w:rsidRPr="006A23C9">
        <w:rPr>
          <w:b/>
          <w:bCs/>
          <w:color w:val="000000" w:themeColor="text1"/>
          <w:lang w:val="ka-GE"/>
        </w:rPr>
        <w:t>ღირებულებების გადახდა დამკვეთის მიერ განხორციელდება</w:t>
      </w:r>
      <w:r w:rsidR="002F5652" w:rsidRPr="006A23C9">
        <w:rPr>
          <w:b/>
          <w:bCs/>
          <w:color w:val="000000" w:themeColor="text1"/>
          <w:lang w:val="ka-GE"/>
        </w:rPr>
        <w:t xml:space="preserve"> ორ ეტაპად: პირველ ეტაპზე ხელმოწერიდან 3 სამუშაო დღის ვადაში დამკვეთი რიცხავს 70% , ხოლო ნარჩენ 30% სამუშაოს დასრულების და მი</w:t>
      </w:r>
      <w:r w:rsidR="009921D9" w:rsidRPr="006A23C9">
        <w:rPr>
          <w:b/>
          <w:bCs/>
          <w:color w:val="000000" w:themeColor="text1"/>
          <w:lang w:val="ka-GE"/>
        </w:rPr>
        <w:t>ღ</w:t>
      </w:r>
      <w:r w:rsidR="002F5652" w:rsidRPr="006A23C9">
        <w:rPr>
          <w:b/>
          <w:bCs/>
          <w:color w:val="000000" w:themeColor="text1"/>
          <w:lang w:val="ka-GE"/>
        </w:rPr>
        <w:t>ება - ჩაბარების აქტის გაფორმებიდან 7 სამუშაო დღს განმავლობაში.</w:t>
      </w:r>
    </w:p>
    <w:p w14:paraId="5E79529D" w14:textId="56D0C158" w:rsidR="00DC3868" w:rsidRDefault="002C3A60" w:rsidP="00366390">
      <w:pPr>
        <w:numPr>
          <w:ilvl w:val="1"/>
          <w:numId w:val="1"/>
        </w:numPr>
        <w:tabs>
          <w:tab w:val="left" w:pos="360"/>
        </w:tabs>
        <w:ind w:left="0" w:right="0" w:firstLine="0"/>
      </w:pPr>
      <w:r>
        <w:t xml:space="preserve">ანგარიშსწორება ხდება  უნაღდო ანგარიშსწორებით </w:t>
      </w:r>
      <w:r w:rsidR="006030DE">
        <w:rPr>
          <w:lang w:val="ka-GE"/>
        </w:rPr>
        <w:t>წინამდებარე ხელშეკრულებაში მითითებულ შემსრულებლის საბანკო ანგარიშზე თანხის ჩარიცხვის გზით</w:t>
      </w:r>
      <w:r w:rsidR="00D92F8A">
        <w:rPr>
          <w:lang w:val="ka-GE"/>
        </w:rPr>
        <w:t>.</w:t>
      </w:r>
    </w:p>
    <w:p w14:paraId="49FACA59" w14:textId="7E962A7B" w:rsidR="00DC3868" w:rsidRDefault="00DC3868" w:rsidP="00366390">
      <w:pPr>
        <w:tabs>
          <w:tab w:val="left" w:pos="360"/>
        </w:tabs>
        <w:spacing w:after="17" w:line="259" w:lineRule="auto"/>
        <w:ind w:left="0" w:right="0" w:firstLine="0"/>
        <w:jc w:val="left"/>
      </w:pPr>
    </w:p>
    <w:p w14:paraId="3531A14F" w14:textId="77777777" w:rsidR="00DC3868" w:rsidRDefault="002C3A60" w:rsidP="00366390">
      <w:pPr>
        <w:tabs>
          <w:tab w:val="left" w:pos="360"/>
        </w:tabs>
        <w:spacing w:after="18" w:line="259" w:lineRule="auto"/>
        <w:ind w:left="0" w:right="0" w:firstLine="0"/>
        <w:jc w:val="left"/>
      </w:pPr>
      <w:r>
        <w:t xml:space="preserve"> </w:t>
      </w:r>
    </w:p>
    <w:p w14:paraId="4C061988" w14:textId="4E323076" w:rsidR="00DC3868" w:rsidRDefault="002C3A60" w:rsidP="00366390">
      <w:pPr>
        <w:tabs>
          <w:tab w:val="left" w:pos="360"/>
        </w:tabs>
        <w:spacing w:after="20" w:line="259" w:lineRule="auto"/>
        <w:ind w:left="0" w:right="0" w:firstLine="0"/>
        <w:jc w:val="left"/>
      </w:pPr>
      <w:r>
        <w:t xml:space="preserve"> </w:t>
      </w:r>
    </w:p>
    <w:p w14:paraId="767A0B83" w14:textId="77777777" w:rsidR="002F5652" w:rsidRDefault="002F5652" w:rsidP="00366390">
      <w:pPr>
        <w:tabs>
          <w:tab w:val="left" w:pos="360"/>
        </w:tabs>
        <w:spacing w:after="20" w:line="259" w:lineRule="auto"/>
        <w:ind w:left="0" w:right="0" w:firstLine="0"/>
        <w:jc w:val="left"/>
      </w:pPr>
    </w:p>
    <w:p w14:paraId="6E772CF4" w14:textId="77777777" w:rsidR="00F56C3A" w:rsidRDefault="00F56C3A" w:rsidP="00366390">
      <w:pPr>
        <w:tabs>
          <w:tab w:val="left" w:pos="360"/>
        </w:tabs>
        <w:spacing w:after="20" w:line="259" w:lineRule="auto"/>
        <w:ind w:left="0" w:right="0" w:firstLine="0"/>
        <w:jc w:val="left"/>
      </w:pPr>
    </w:p>
    <w:p w14:paraId="1BB1DE68" w14:textId="33628F50" w:rsidR="006030DE" w:rsidRPr="002F5652" w:rsidRDefault="006030DE" w:rsidP="00366390">
      <w:pPr>
        <w:numPr>
          <w:ilvl w:val="0"/>
          <w:numId w:val="1"/>
        </w:numPr>
        <w:tabs>
          <w:tab w:val="left" w:pos="360"/>
        </w:tabs>
        <w:ind w:left="0" w:right="0" w:firstLine="0"/>
        <w:rPr>
          <w:b/>
          <w:bCs/>
        </w:rPr>
      </w:pPr>
      <w:r w:rsidRPr="002F5652">
        <w:rPr>
          <w:b/>
          <w:bCs/>
          <w:lang w:val="ka-GE"/>
        </w:rPr>
        <w:t>მხარეთა ვალდებულებები და პასუხისმგებლობა</w:t>
      </w:r>
    </w:p>
    <w:p w14:paraId="4EF880C2" w14:textId="760272BB" w:rsidR="006030DE" w:rsidRDefault="006030DE" w:rsidP="006030DE">
      <w:pPr>
        <w:pStyle w:val="ListParagraph"/>
        <w:numPr>
          <w:ilvl w:val="1"/>
          <w:numId w:val="1"/>
        </w:numPr>
        <w:tabs>
          <w:tab w:val="left" w:pos="360"/>
        </w:tabs>
        <w:ind w:left="0" w:right="0" w:firstLine="0"/>
        <w:rPr>
          <w:lang w:val="ka-GE"/>
        </w:rPr>
      </w:pPr>
      <w:r w:rsidRPr="006030DE">
        <w:rPr>
          <w:lang w:val="ka-GE"/>
        </w:rPr>
        <w:t>მხარეები ვალდებულნი არიან კეთილსინდისიერად და სრულად, ხელშეკრულების პირობებისა და საქართველოს მოქმედი</w:t>
      </w:r>
      <w:r w:rsidRPr="0046078C">
        <w:rPr>
          <w:lang w:val="ka-GE"/>
        </w:rPr>
        <w:t xml:space="preserve"> კანონმდებლობის დაცვით შეასრულონ ხელშეკრულებით ნაკისრი ვალდებულებები.</w:t>
      </w:r>
    </w:p>
    <w:p w14:paraId="4456578D" w14:textId="4EE14CA6" w:rsidR="0046078C" w:rsidRDefault="0046078C" w:rsidP="006030DE">
      <w:pPr>
        <w:pStyle w:val="ListParagraph"/>
        <w:numPr>
          <w:ilvl w:val="1"/>
          <w:numId w:val="1"/>
        </w:numPr>
        <w:tabs>
          <w:tab w:val="left" w:pos="360"/>
        </w:tabs>
        <w:ind w:left="0" w:right="0" w:firstLine="0"/>
        <w:rPr>
          <w:lang w:val="ka-GE"/>
        </w:rPr>
      </w:pPr>
      <w:bookmarkStart w:id="1" w:name="_Hlk197529076"/>
      <w:r>
        <w:rPr>
          <w:lang w:val="ka-GE"/>
        </w:rPr>
        <w:t>მხარეები პასუხს აგებენ ხელშეკრულებით გათვალისწინებული ვალდებულებების შეუსრულებლობაზე/დარღვევაზე წინამდებარე ხელშეკრულებითა და საქართველოს მოქმედი კანონმდებლობის შესაბამისად.</w:t>
      </w:r>
    </w:p>
    <w:p w14:paraId="344658D8" w14:textId="35CDF7A6" w:rsidR="0046078C" w:rsidRDefault="0046078C" w:rsidP="006030DE">
      <w:pPr>
        <w:pStyle w:val="ListParagraph"/>
        <w:numPr>
          <w:ilvl w:val="1"/>
          <w:numId w:val="1"/>
        </w:numPr>
        <w:tabs>
          <w:tab w:val="left" w:pos="360"/>
        </w:tabs>
        <w:ind w:left="0" w:right="0" w:firstLine="0"/>
        <w:rPr>
          <w:lang w:val="ka-GE"/>
        </w:rPr>
      </w:pPr>
      <w:bookmarkStart w:id="2" w:name="_Hlk197529100"/>
      <w:bookmarkEnd w:id="1"/>
      <w:r>
        <w:rPr>
          <w:lang w:val="ka-GE"/>
        </w:rPr>
        <w:t xml:space="preserve">იმ შემთხვევაში, თუ </w:t>
      </w:r>
      <w:r w:rsidR="001D2FCC">
        <w:rPr>
          <w:lang w:val="ka-GE"/>
        </w:rPr>
        <w:t>გამყიდველი</w:t>
      </w:r>
      <w:r>
        <w:rPr>
          <w:lang w:val="ka-GE"/>
        </w:rPr>
        <w:t xml:space="preserve"> დაარღვევს წინამდებარე ხელშეკრულებით გათვალისწინებული მიწოდების</w:t>
      </w:r>
      <w:r w:rsidR="001D2FCC">
        <w:rPr>
          <w:lang w:val="ka-GE"/>
        </w:rPr>
        <w:t xml:space="preserve"> </w:t>
      </w:r>
      <w:r>
        <w:rPr>
          <w:lang w:val="ka-GE"/>
        </w:rPr>
        <w:t xml:space="preserve">ვადას, ვადის გადაცილების მომენტიდან </w:t>
      </w:r>
      <w:r w:rsidR="001D2FCC">
        <w:rPr>
          <w:lang w:val="ka-GE"/>
        </w:rPr>
        <w:t>გამყიდველს</w:t>
      </w:r>
      <w:r>
        <w:rPr>
          <w:lang w:val="ka-GE"/>
        </w:rPr>
        <w:t xml:space="preserve"> ეკისრება პირგასამტეხლო, </w:t>
      </w:r>
      <w:r w:rsidR="00830260">
        <w:rPr>
          <w:lang w:val="ka-GE"/>
        </w:rPr>
        <w:t>საქონლის</w:t>
      </w:r>
      <w:r w:rsidR="001D2FCC">
        <w:rPr>
          <w:lang w:val="ka-GE"/>
        </w:rPr>
        <w:t xml:space="preserve"> </w:t>
      </w:r>
      <w:r w:rsidR="00830260">
        <w:rPr>
          <w:lang w:val="ka-GE"/>
        </w:rPr>
        <w:t>ჯამური ღირებულების 0.1%-ის ოდენობით ყოველ ვადაგადაცილებულ დღეზე, ვალდებულების სრულად და ჯეროვნად შესრულებამდე.</w:t>
      </w:r>
    </w:p>
    <w:p w14:paraId="53C7DD52" w14:textId="0B8D93B7" w:rsidR="00830260" w:rsidRDefault="001D2FCC" w:rsidP="006030DE">
      <w:pPr>
        <w:pStyle w:val="ListParagraph"/>
        <w:numPr>
          <w:ilvl w:val="1"/>
          <w:numId w:val="1"/>
        </w:numPr>
        <w:tabs>
          <w:tab w:val="left" w:pos="360"/>
        </w:tabs>
        <w:ind w:left="0" w:right="0" w:firstLine="0"/>
        <w:rPr>
          <w:lang w:val="ka-GE"/>
        </w:rPr>
      </w:pPr>
      <w:r>
        <w:rPr>
          <w:lang w:val="ka-GE"/>
        </w:rPr>
        <w:t>მყიდველი</w:t>
      </w:r>
      <w:r w:rsidR="00830260">
        <w:rPr>
          <w:lang w:val="ka-GE"/>
        </w:rPr>
        <w:t xml:space="preserve"> უფლებამოსილია </w:t>
      </w:r>
      <w:r>
        <w:rPr>
          <w:lang w:val="ka-GE"/>
        </w:rPr>
        <w:t>გამყიდველისთვის</w:t>
      </w:r>
      <w:r w:rsidR="00830260">
        <w:rPr>
          <w:lang w:val="ka-GE"/>
        </w:rPr>
        <w:t xml:space="preserve"> გადასახდელი ნებისმიერი თანხიდან გამოქვითოს წინამდებარე ხელშეკრულების საფუძველზე </w:t>
      </w:r>
      <w:r>
        <w:rPr>
          <w:lang w:val="ka-GE"/>
        </w:rPr>
        <w:t>გამყიდველისთვის</w:t>
      </w:r>
      <w:r w:rsidR="00830260">
        <w:rPr>
          <w:lang w:val="ka-GE"/>
        </w:rPr>
        <w:t xml:space="preserve"> დაკისრებული ნებისმიერი სახის პირგასამტეხლო/ჯარიმა/მიყენებული ზიანი.</w:t>
      </w:r>
    </w:p>
    <w:bookmarkEnd w:id="2"/>
    <w:p w14:paraId="7791A826" w14:textId="77777777" w:rsidR="00830260" w:rsidRPr="00830260" w:rsidRDefault="00830260" w:rsidP="00E77673">
      <w:pPr>
        <w:pStyle w:val="ListParagraph"/>
        <w:tabs>
          <w:tab w:val="left" w:pos="360"/>
        </w:tabs>
        <w:ind w:left="0" w:right="0" w:firstLine="0"/>
        <w:rPr>
          <w:lang w:val="ka-GE"/>
        </w:rPr>
      </w:pPr>
    </w:p>
    <w:p w14:paraId="3CAEAA78" w14:textId="77777777" w:rsidR="00830260" w:rsidRPr="00E77673" w:rsidRDefault="00830260" w:rsidP="00E77673">
      <w:pPr>
        <w:tabs>
          <w:tab w:val="left" w:pos="360"/>
        </w:tabs>
        <w:ind w:left="0" w:right="0" w:firstLine="0"/>
        <w:rPr>
          <w:lang w:val="ka-GE"/>
        </w:rPr>
      </w:pPr>
    </w:p>
    <w:p w14:paraId="210E5B56" w14:textId="292DCC4C" w:rsidR="00DC3868" w:rsidRPr="002F5652" w:rsidRDefault="002C3A60" w:rsidP="00366390">
      <w:pPr>
        <w:numPr>
          <w:ilvl w:val="0"/>
          <w:numId w:val="1"/>
        </w:numPr>
        <w:tabs>
          <w:tab w:val="left" w:pos="360"/>
        </w:tabs>
        <w:ind w:left="0" w:right="0" w:firstLine="0"/>
        <w:rPr>
          <w:b/>
          <w:bCs/>
        </w:rPr>
      </w:pPr>
      <w:r w:rsidRPr="002F5652">
        <w:rPr>
          <w:b/>
          <w:bCs/>
        </w:rPr>
        <w:t xml:space="preserve">ხელშეკრულების მოქმედების ვადა და შეწყვეტის პირობები </w:t>
      </w:r>
    </w:p>
    <w:p w14:paraId="5A1A92A8" w14:textId="21963B91" w:rsidR="00E77673" w:rsidRDefault="002C3A60" w:rsidP="00E77673">
      <w:pPr>
        <w:numPr>
          <w:ilvl w:val="1"/>
          <w:numId w:val="1"/>
        </w:numPr>
        <w:tabs>
          <w:tab w:val="left" w:pos="360"/>
        </w:tabs>
        <w:ind w:left="0" w:right="0"/>
      </w:pPr>
      <w:r>
        <w:t>ხელშეკრულება ძალაში შედის მხარეთა მიერ მისი ხელმოწერის მომენტიდან და მოქმედებს მხარეთა მიერ ნაკისრი ვალდებულებების სრულად და ჯეროვნად შესრულებამდე.</w:t>
      </w:r>
      <w:bookmarkStart w:id="3" w:name="_Hlk197529435"/>
      <w:r w:rsidR="00E77673">
        <w:t>ხელშეკრულება შეიძლება ვადაზე ადრე შეწყდეს:</w:t>
      </w:r>
    </w:p>
    <w:p w14:paraId="48792939" w14:textId="77777777" w:rsidR="00E77673" w:rsidRDefault="00E77673" w:rsidP="00E77673">
      <w:pPr>
        <w:tabs>
          <w:tab w:val="left" w:pos="360"/>
        </w:tabs>
        <w:ind w:left="0" w:right="0" w:firstLine="0"/>
      </w:pPr>
      <w:r>
        <w:t>ა) მხარეთა ორმხრივი წერილობითი შეთანხმების საფუძველზე;</w:t>
      </w:r>
    </w:p>
    <w:p w14:paraId="6B2F4E1D" w14:textId="5E58C2C2" w:rsidR="00E77673" w:rsidRDefault="00E77673" w:rsidP="00E77673">
      <w:pPr>
        <w:tabs>
          <w:tab w:val="left" w:pos="360"/>
        </w:tabs>
        <w:ind w:left="0" w:right="0" w:firstLine="0"/>
      </w:pPr>
      <w:r>
        <w:t xml:space="preserve">ბ) </w:t>
      </w:r>
      <w:r w:rsidR="00B62026">
        <w:rPr>
          <w:lang w:val="ka-GE"/>
        </w:rPr>
        <w:t>მყიდველის</w:t>
      </w:r>
      <w:r>
        <w:t xml:space="preserve"> მიერ </w:t>
      </w:r>
      <w:r w:rsidR="00B62026">
        <w:rPr>
          <w:lang w:val="ka-GE"/>
        </w:rPr>
        <w:t>გამყიდველისთვის</w:t>
      </w:r>
      <w:r>
        <w:t xml:space="preserve"> გაგზავნილი წერილობითი შეტყობინების საფუძველზე დაუყოვნებლივ ან </w:t>
      </w:r>
      <w:r w:rsidR="00B62026">
        <w:rPr>
          <w:lang w:val="ka-GE"/>
        </w:rPr>
        <w:t>მყიდველის</w:t>
      </w:r>
      <w:r>
        <w:t xml:space="preserve"> მიერ განსაზღვრული დამატებითი დროის უშედეგოდ გასვლისას, იმ შემთხვევაში თუ ადგილი ექნება </w:t>
      </w:r>
      <w:r w:rsidR="00B62026">
        <w:rPr>
          <w:lang w:val="ka-GE"/>
        </w:rPr>
        <w:t>გამყიდველის</w:t>
      </w:r>
      <w:r>
        <w:t xml:space="preserve"> მიერ წინამდებარე ხელშეკრულებით გათვალისწინებული რომელიმე პირობის, მათ შორის საქონლის მიწოდების</w:t>
      </w:r>
      <w:r w:rsidR="001D2FCC">
        <w:rPr>
          <w:lang w:val="ka-GE"/>
        </w:rPr>
        <w:t xml:space="preserve"> </w:t>
      </w:r>
      <w:r>
        <w:t>ვადის დარღვევას;</w:t>
      </w:r>
    </w:p>
    <w:p w14:paraId="10D4A9A5" w14:textId="50B0795C" w:rsidR="00E77673" w:rsidRDefault="00E77673" w:rsidP="00E77673">
      <w:pPr>
        <w:tabs>
          <w:tab w:val="left" w:pos="360"/>
        </w:tabs>
        <w:ind w:left="0" w:right="0" w:firstLine="0"/>
      </w:pPr>
      <w:r>
        <w:t xml:space="preserve">გ) </w:t>
      </w:r>
      <w:r w:rsidR="00B62026">
        <w:rPr>
          <w:lang w:val="ka-GE"/>
        </w:rPr>
        <w:t>მყიდველის</w:t>
      </w:r>
      <w:r>
        <w:t xml:space="preserve"> მიერ ცალმხრივად, ნებისმიერ დროს, ყოველგვარი საფუძვლის მითითების გარეშე, </w:t>
      </w:r>
      <w:r w:rsidR="00B62026">
        <w:rPr>
          <w:lang w:val="ka-GE"/>
        </w:rPr>
        <w:t>გამყიდველისთვის</w:t>
      </w:r>
      <w:r>
        <w:t xml:space="preserve"> წერილობითი შეტყობინების გაგზავნის გზით. აღნიშნულ შემთხვევაში ხელშეკრულების მოქმედება შეწყდება შეტყობინების გაგზავნიდან </w:t>
      </w:r>
      <w:r>
        <w:rPr>
          <w:lang w:val="ka-GE"/>
        </w:rPr>
        <w:t>1</w:t>
      </w:r>
      <w:r>
        <w:t xml:space="preserve"> (</w:t>
      </w:r>
      <w:r>
        <w:rPr>
          <w:lang w:val="ka-GE"/>
        </w:rPr>
        <w:t>ერ</w:t>
      </w:r>
      <w:r>
        <w:t xml:space="preserve">თი) </w:t>
      </w:r>
      <w:r>
        <w:rPr>
          <w:lang w:val="ka-GE"/>
        </w:rPr>
        <w:t>თვის</w:t>
      </w:r>
      <w:r>
        <w:t xml:space="preserve"> შემდეგ. ამასთან, </w:t>
      </w:r>
      <w:r w:rsidR="00B62026">
        <w:rPr>
          <w:lang w:val="ka-GE"/>
        </w:rPr>
        <w:t>მყიდველი</w:t>
      </w:r>
      <w:r>
        <w:t xml:space="preserve"> ვალდებულია აუნაზღაუროს </w:t>
      </w:r>
      <w:r w:rsidR="00B62026">
        <w:rPr>
          <w:lang w:val="ka-GE"/>
        </w:rPr>
        <w:t>გამყიდველს</w:t>
      </w:r>
      <w:r>
        <w:t xml:space="preserve"> შეწყვეტის მომენტამდე ფაქტობრივად მიღებული საქონლის</w:t>
      </w:r>
      <w:r w:rsidR="001D2FCC">
        <w:rPr>
          <w:lang w:val="ka-GE"/>
        </w:rPr>
        <w:t xml:space="preserve"> </w:t>
      </w:r>
      <w:r>
        <w:t>ღირებულება, რაც დადასტურებული იქნება შესაბამისი მიღება-ჩაბარების აქტით;</w:t>
      </w:r>
    </w:p>
    <w:p w14:paraId="497CE333" w14:textId="77777777" w:rsidR="00E77673" w:rsidRDefault="00E77673" w:rsidP="00E77673">
      <w:pPr>
        <w:tabs>
          <w:tab w:val="left" w:pos="360"/>
        </w:tabs>
        <w:ind w:left="0" w:right="0" w:firstLine="0"/>
      </w:pPr>
      <w:r>
        <w:t>დ) წინამდებარე ხელშეკრულებით ან საქართველოს კანონმდებლობით განსაზღვრულ სხვა შემთხვევებში.</w:t>
      </w:r>
    </w:p>
    <w:p w14:paraId="57250793" w14:textId="51BF1C26" w:rsidR="00E77673" w:rsidRDefault="00E77673" w:rsidP="00E77673">
      <w:pPr>
        <w:numPr>
          <w:ilvl w:val="1"/>
          <w:numId w:val="1"/>
        </w:numPr>
        <w:tabs>
          <w:tab w:val="left" w:pos="360"/>
        </w:tabs>
        <w:ind w:left="0" w:right="0"/>
      </w:pPr>
      <w:r>
        <w:t xml:space="preserve">წინამდებარე ხელშეკრულების მოქმედების </w:t>
      </w:r>
      <w:r w:rsidR="00B62026">
        <w:rPr>
          <w:lang w:val="ka-GE"/>
        </w:rPr>
        <w:t>მყიდველის</w:t>
      </w:r>
      <w:r>
        <w:t xml:space="preserve"> მიერ ვადაზე ადრე შეწყვეტის შემთხვევაში, რაც განპირობებულია </w:t>
      </w:r>
      <w:r w:rsidR="00B62026">
        <w:rPr>
          <w:lang w:val="ka-GE"/>
        </w:rPr>
        <w:t>გამყიდველის</w:t>
      </w:r>
      <w:r>
        <w:t xml:space="preserve"> მიერ ხელშეკრულებით გათვალისწინებული რომელიმე ვალდებულების დარღვევით, ან თუ ხელშეკრულებას შემსრულებელი შეწყვეტს უსაფუძვლოდ, </w:t>
      </w:r>
      <w:r w:rsidR="00B62026">
        <w:rPr>
          <w:lang w:val="ka-GE"/>
        </w:rPr>
        <w:t>მყიდველი</w:t>
      </w:r>
      <w:r>
        <w:t xml:space="preserve"> უფლებამოსილია დააკისროს </w:t>
      </w:r>
      <w:r w:rsidR="00B62026">
        <w:rPr>
          <w:lang w:val="ka-GE"/>
        </w:rPr>
        <w:t>გამყიდველს</w:t>
      </w:r>
      <w:r>
        <w:t xml:space="preserve"> ჯარიმა ხელშეკრულების </w:t>
      </w:r>
      <w:r>
        <w:rPr>
          <w:lang w:val="ka-GE"/>
        </w:rPr>
        <w:t>ჯამური ღირებულების 10%-ის</w:t>
      </w:r>
      <w:r>
        <w:t xml:space="preserve"> ოდენობით. ამასთან, </w:t>
      </w:r>
      <w:r w:rsidR="00B62026">
        <w:rPr>
          <w:lang w:val="ka-GE"/>
        </w:rPr>
        <w:t>მყიდველი</w:t>
      </w:r>
      <w:r>
        <w:t xml:space="preserve"> თავისუფლდება წინამდებარე ხელშეკრულებით გათვალისწინებული ღირებულების გადახდის ვალდებულებისგან.</w:t>
      </w:r>
    </w:p>
    <w:bookmarkEnd w:id="3"/>
    <w:p w14:paraId="5A248BB7" w14:textId="77777777" w:rsidR="00E77673" w:rsidRDefault="00E77673" w:rsidP="00E77673">
      <w:pPr>
        <w:tabs>
          <w:tab w:val="left" w:pos="360"/>
        </w:tabs>
        <w:ind w:left="0" w:right="0" w:firstLine="0"/>
      </w:pPr>
    </w:p>
    <w:p w14:paraId="36064928" w14:textId="77777777" w:rsidR="00DC3868" w:rsidRDefault="002C3A60" w:rsidP="00366390">
      <w:pPr>
        <w:tabs>
          <w:tab w:val="left" w:pos="360"/>
        </w:tabs>
        <w:spacing w:after="17" w:line="259" w:lineRule="auto"/>
        <w:ind w:left="0" w:right="0" w:firstLine="0"/>
        <w:jc w:val="left"/>
      </w:pPr>
      <w:r>
        <w:t xml:space="preserve"> </w:t>
      </w:r>
    </w:p>
    <w:p w14:paraId="2A3162D7" w14:textId="77777777" w:rsidR="00DC3868" w:rsidRDefault="002C3A60" w:rsidP="00366390">
      <w:pPr>
        <w:tabs>
          <w:tab w:val="left" w:pos="360"/>
        </w:tabs>
        <w:spacing w:after="20" w:line="259" w:lineRule="auto"/>
        <w:ind w:left="0" w:right="0" w:firstLine="0"/>
        <w:jc w:val="left"/>
      </w:pPr>
      <w:r>
        <w:t xml:space="preserve"> </w:t>
      </w:r>
    </w:p>
    <w:p w14:paraId="43A9ADBE" w14:textId="77777777" w:rsidR="00DC3868" w:rsidRPr="002F5652" w:rsidRDefault="002C3A60" w:rsidP="00366390">
      <w:pPr>
        <w:numPr>
          <w:ilvl w:val="0"/>
          <w:numId w:val="1"/>
        </w:numPr>
        <w:tabs>
          <w:tab w:val="left" w:pos="360"/>
        </w:tabs>
        <w:ind w:left="0" w:right="0" w:firstLine="0"/>
        <w:rPr>
          <w:b/>
          <w:bCs/>
        </w:rPr>
      </w:pPr>
      <w:r w:rsidRPr="002F5652">
        <w:rPr>
          <w:b/>
          <w:bCs/>
        </w:rPr>
        <w:t xml:space="preserve">დამატებითი დებულებები </w:t>
      </w:r>
    </w:p>
    <w:p w14:paraId="2FD3C7F7" w14:textId="263D7ADF" w:rsidR="00E77673" w:rsidRPr="00AF2F6D" w:rsidRDefault="00E77673" w:rsidP="00366390">
      <w:pPr>
        <w:numPr>
          <w:ilvl w:val="1"/>
          <w:numId w:val="1"/>
        </w:numPr>
        <w:tabs>
          <w:tab w:val="left" w:pos="360"/>
        </w:tabs>
        <w:ind w:left="0" w:right="0" w:firstLine="0"/>
      </w:pPr>
      <w:bookmarkStart w:id="4" w:name="_Hlk197529972"/>
      <w:r>
        <w:rPr>
          <w:lang w:val="ka-GE"/>
        </w:rPr>
        <w:t>მხარეები თავისუფლდებიან პასუხისმგებლობისაგან ხელშეკრულებით გათვალისწინებული ვალდებულებების შეუსრულებლობისას, თუ აღნიშნული გამოწვეულია ფორს-მაჟორული გარემოებით.</w:t>
      </w:r>
    </w:p>
    <w:p w14:paraId="1F9F7C1B" w14:textId="211936D9" w:rsidR="00E77673" w:rsidRDefault="00E77673" w:rsidP="00366390">
      <w:pPr>
        <w:numPr>
          <w:ilvl w:val="1"/>
          <w:numId w:val="1"/>
        </w:numPr>
        <w:tabs>
          <w:tab w:val="left" w:pos="360"/>
        </w:tabs>
        <w:ind w:left="0" w:right="0" w:firstLine="0"/>
      </w:pPr>
      <w:bookmarkStart w:id="5" w:name="_Hlk197529987"/>
      <w:bookmarkEnd w:id="4"/>
      <w:r>
        <w:rPr>
          <w:lang w:val="ka-GE"/>
        </w:rPr>
        <w:t>მხარე ვალდებულია, ხელშეკრულების მოქმედების განმავლობაში ან ნებისმიერი საფუძვლით მისი მოქმედების შეწყვეტის შემდეგ, არ გაუმჟღავნოს ნებისმიერ მესამე პირს კონფიდენციალური ინფორმაცია, რაც მისთვის შეიძლება გახდეს ცნობილი წინამდებარე ხელშეკრულების მოქმედების განმავლობაში (მათ შორის, წინამდებარე ხელშეკრულების პირობები), გარდა იმ შემთხვევისა, როდესაც მოიპოვებს მხარის წინასწარ წერილობით თანხმობას ამის თაობაზე ან თუ ინფორმაციის გადაცემა ხორციელდება გარე აუდიტორისთვის ან სახეზეა საქართველოს კანონმდებლობით გათვალისწინებული შემთხვევა. კონფიდენციალურობის პირობის დარღვევის შემთხვევაში მხარე პასუხს აგებს სრულად მეორე მხარისთვის მიყენებულ ზიანზე/ზარალზე.</w:t>
      </w:r>
    </w:p>
    <w:p w14:paraId="5F7B317B" w14:textId="3063D49B" w:rsidR="00DC3868" w:rsidRDefault="002C3A60" w:rsidP="00366390">
      <w:pPr>
        <w:numPr>
          <w:ilvl w:val="1"/>
          <w:numId w:val="1"/>
        </w:numPr>
        <w:tabs>
          <w:tab w:val="left" w:pos="360"/>
        </w:tabs>
        <w:ind w:left="0" w:right="0" w:firstLine="0"/>
      </w:pPr>
      <w:bookmarkStart w:id="6" w:name="_Hlk197530017"/>
      <w:bookmarkEnd w:id="5"/>
      <w:r>
        <w:t>წინამდებარე ხელშეკრულება გაფორმებულია ქართულ</w:t>
      </w:r>
      <w:r w:rsidR="0043788B">
        <w:rPr>
          <w:lang w:val="ka-GE"/>
        </w:rPr>
        <w:t xml:space="preserve"> </w:t>
      </w:r>
      <w:r>
        <w:t>ენაზე, თანაბარი იურიდიული ძალის მქონე ორ იდენტურ ეგზემპლარად, რომლებიც გადაეცემა მხარეებს</w:t>
      </w:r>
      <w:r w:rsidR="00E77673">
        <w:rPr>
          <w:lang w:val="ka-GE"/>
        </w:rPr>
        <w:t>.</w:t>
      </w:r>
      <w:r>
        <w:t xml:space="preserve"> </w:t>
      </w:r>
    </w:p>
    <w:p w14:paraId="14262543" w14:textId="00E0189A" w:rsidR="00DC3868" w:rsidRDefault="002C3A60" w:rsidP="00366390">
      <w:pPr>
        <w:numPr>
          <w:ilvl w:val="1"/>
          <w:numId w:val="1"/>
        </w:numPr>
        <w:tabs>
          <w:tab w:val="left" w:pos="360"/>
        </w:tabs>
        <w:ind w:left="0" w:right="0" w:firstLine="0"/>
      </w:pPr>
      <w:r>
        <w:lastRenderedPageBreak/>
        <w:t>მხარეები არსებითად ეთანხმებიან ხელშეკრულების პირობებს და ყოველივე ზემოთქმულის დასტურად აფორმებენ წინამდებარე ხელშეკრულებას საქართველოს კანონმდებლობის შესაბამისად</w:t>
      </w:r>
      <w:r w:rsidR="00E77673">
        <w:rPr>
          <w:lang w:val="ka-GE"/>
        </w:rPr>
        <w:t>.</w:t>
      </w:r>
      <w:r>
        <w:t xml:space="preserve">  </w:t>
      </w:r>
    </w:p>
    <w:p w14:paraId="16702C32" w14:textId="328AEA33" w:rsidR="00DC3868" w:rsidRDefault="002C3A60" w:rsidP="00366390">
      <w:pPr>
        <w:numPr>
          <w:ilvl w:val="1"/>
          <w:numId w:val="1"/>
        </w:numPr>
        <w:tabs>
          <w:tab w:val="left" w:pos="360"/>
        </w:tabs>
        <w:ind w:left="0" w:right="0" w:firstLine="0"/>
      </w:pPr>
      <w:r>
        <w:t>მხარეები ნებისმიერ უთანხმოებას წყვეტენ ურთიერთ</w:t>
      </w:r>
      <w:r w:rsidR="001B2EF7">
        <w:rPr>
          <w:lang w:val="ka-GE"/>
        </w:rPr>
        <w:t>-</w:t>
      </w:r>
      <w:r>
        <w:t xml:space="preserve">მოლაპარაკების გზით. შეთანხმების მიუღწევლობის შემთხვევაში მხარეები მიმართავენ სასამართლოს. </w:t>
      </w:r>
    </w:p>
    <w:p w14:paraId="6ED0DC1E" w14:textId="187C96E9" w:rsidR="00E77673" w:rsidRPr="00AF2F6D" w:rsidRDefault="00E77673" w:rsidP="00366390">
      <w:pPr>
        <w:numPr>
          <w:ilvl w:val="1"/>
          <w:numId w:val="1"/>
        </w:numPr>
        <w:tabs>
          <w:tab w:val="left" w:pos="360"/>
        </w:tabs>
        <w:ind w:left="0" w:right="0" w:firstLine="0"/>
      </w:pPr>
      <w:r>
        <w:rPr>
          <w:lang w:val="ka-GE"/>
        </w:rPr>
        <w:t>ხელშეკრულების რომელიმე პირობის ბათილობა არ გამოიწვევს მთლიანად ხელშეკრულების ან მისი რომელიმე სხვა პირობის ბათილობას.</w:t>
      </w:r>
    </w:p>
    <w:p w14:paraId="7EB61C6B" w14:textId="787360AE" w:rsidR="00E77673" w:rsidRPr="00AF2F6D" w:rsidRDefault="00E77673" w:rsidP="00366390">
      <w:pPr>
        <w:numPr>
          <w:ilvl w:val="1"/>
          <w:numId w:val="1"/>
        </w:numPr>
        <w:tabs>
          <w:tab w:val="left" w:pos="360"/>
        </w:tabs>
        <w:ind w:left="0" w:right="0" w:firstLine="0"/>
      </w:pPr>
      <w:r>
        <w:rPr>
          <w:lang w:val="ka-GE"/>
        </w:rPr>
        <w:t>არც ერთ მხარეს არ აქვს უფლება გადასცეს ხელშეკრულებით განსაზღვრული უფლება-მოვალეობები მესამე პირს მეორე მხარის წერილობითი თანხმობის გარეშე.</w:t>
      </w:r>
    </w:p>
    <w:p w14:paraId="7D50FAD4" w14:textId="4D99360D" w:rsidR="00E77673" w:rsidRDefault="00E77673" w:rsidP="00366390">
      <w:pPr>
        <w:numPr>
          <w:ilvl w:val="1"/>
          <w:numId w:val="1"/>
        </w:numPr>
        <w:tabs>
          <w:tab w:val="left" w:pos="360"/>
        </w:tabs>
        <w:ind w:left="0" w:right="0" w:firstLine="0"/>
      </w:pPr>
      <w:r>
        <w:rPr>
          <w:lang w:val="ka-GE"/>
        </w:rPr>
        <w:t>დაუშვებელია</w:t>
      </w:r>
      <w:r w:rsidR="004102EA">
        <w:rPr>
          <w:lang w:val="ka-GE"/>
        </w:rPr>
        <w:t xml:space="preserve"> წინამდებარე ხელშეკრულების რომელიმე პირობის შეცვლა ორივე მხარის მიერ ხელმოწერილი შეთანხმების გარეშე.</w:t>
      </w:r>
    </w:p>
    <w:bookmarkEnd w:id="6"/>
    <w:p w14:paraId="35C821CD" w14:textId="01774471" w:rsidR="00DC3868" w:rsidRPr="002F5652" w:rsidRDefault="002C3A60">
      <w:pPr>
        <w:spacing w:after="20" w:line="259" w:lineRule="auto"/>
        <w:ind w:left="0" w:right="0" w:firstLine="0"/>
        <w:jc w:val="left"/>
        <w:rPr>
          <w:b/>
          <w:bCs/>
        </w:rPr>
      </w:pPr>
      <w:r w:rsidRPr="002F5652">
        <w:rPr>
          <w:b/>
          <w:bCs/>
        </w:rPr>
        <w:t xml:space="preserve">             </w:t>
      </w:r>
    </w:p>
    <w:p w14:paraId="59C57696" w14:textId="77777777" w:rsidR="00DC3868" w:rsidRPr="002F5652" w:rsidRDefault="002C3A60">
      <w:pPr>
        <w:numPr>
          <w:ilvl w:val="0"/>
          <w:numId w:val="1"/>
        </w:numPr>
        <w:ind w:right="0" w:hanging="202"/>
        <w:rPr>
          <w:b/>
          <w:bCs/>
        </w:rPr>
      </w:pPr>
      <w:r w:rsidRPr="002F5652">
        <w:rPr>
          <w:b/>
          <w:bCs/>
        </w:rPr>
        <w:t xml:space="preserve">მხარეთა ხელმოწერები და რეკვიზიტები </w:t>
      </w:r>
    </w:p>
    <w:p w14:paraId="07632C6A" w14:textId="0371AF97" w:rsidR="00DC3868" w:rsidRDefault="002C3A60">
      <w:pPr>
        <w:spacing w:after="17" w:line="259" w:lineRule="auto"/>
        <w:ind w:left="0" w:right="0" w:firstLine="0"/>
        <w:jc w:val="left"/>
      </w:pPr>
      <w:r>
        <w:t xml:space="preserve"> </w:t>
      </w:r>
    </w:p>
    <w:p w14:paraId="02ABA2C6" w14:textId="00537DD0" w:rsidR="00DC3868" w:rsidRDefault="002C3A60">
      <w:pPr>
        <w:spacing w:after="17" w:line="259" w:lineRule="auto"/>
        <w:ind w:left="0" w:right="0" w:firstLine="0"/>
        <w:jc w:val="left"/>
      </w:pPr>
      <w:r>
        <w:t xml:space="preserve"> </w:t>
      </w:r>
    </w:p>
    <w:p w14:paraId="6F896C77" w14:textId="0BFD04C1" w:rsidR="00DC3868" w:rsidRDefault="002C3A60" w:rsidP="00AA5F6E">
      <w:pPr>
        <w:spacing w:after="0" w:line="259" w:lineRule="auto"/>
        <w:ind w:left="0" w:right="0" w:firstLine="0"/>
        <w:jc w:val="left"/>
      </w:pPr>
      <w:r>
        <w:t xml:space="preserve"> </w:t>
      </w:r>
      <w:r>
        <w:rPr>
          <w:sz w:val="24"/>
        </w:rPr>
        <w:t xml:space="preserve"> </w:t>
      </w:r>
      <w:r>
        <w:rPr>
          <w:sz w:val="24"/>
        </w:rPr>
        <w:tab/>
        <w:t xml:space="preserve">                      </w:t>
      </w:r>
    </w:p>
    <w:tbl>
      <w:tblPr>
        <w:tblStyle w:val="TableGrid0"/>
        <w:tblW w:w="0" w:type="auto"/>
        <w:tblLook w:val="04A0" w:firstRow="1" w:lastRow="0" w:firstColumn="1" w:lastColumn="0" w:noHBand="0" w:noVBand="1"/>
      </w:tblPr>
      <w:tblGrid>
        <w:gridCol w:w="4839"/>
        <w:gridCol w:w="4840"/>
      </w:tblGrid>
      <w:tr w:rsidR="001D1FEC" w14:paraId="55FFDF98" w14:textId="77777777" w:rsidTr="00943136">
        <w:tc>
          <w:tcPr>
            <w:tcW w:w="4839" w:type="dxa"/>
          </w:tcPr>
          <w:p w14:paraId="19E3137F" w14:textId="04033B0B" w:rsidR="001D1FEC" w:rsidRDefault="009C0725" w:rsidP="00943136">
            <w:pPr>
              <w:pStyle w:val="NormalWeb"/>
              <w:jc w:val="center"/>
              <w:rPr>
                <w:rFonts w:ascii="Sylfaen" w:hAnsi="Sylfaen"/>
                <w:color w:val="000000"/>
                <w:sz w:val="20"/>
                <w:szCs w:val="20"/>
                <w:lang w:val="ka-GE"/>
              </w:rPr>
            </w:pPr>
            <w:r>
              <w:rPr>
                <w:rFonts w:ascii="Sylfaen" w:hAnsi="Sylfaen"/>
                <w:color w:val="000000"/>
                <w:sz w:val="20"/>
                <w:szCs w:val="20"/>
                <w:lang w:val="ka-GE"/>
              </w:rPr>
              <w:t>გამყიდველი</w:t>
            </w:r>
          </w:p>
          <w:p w14:paraId="376FAB3B" w14:textId="77777777" w:rsidR="001D1FEC" w:rsidRPr="000E50AE" w:rsidRDefault="001D1FEC" w:rsidP="00943136">
            <w:pPr>
              <w:pStyle w:val="NormalWeb"/>
              <w:jc w:val="center"/>
              <w:rPr>
                <w:rFonts w:ascii="Sylfaen" w:hAnsi="Sylfaen"/>
                <w:color w:val="000000"/>
                <w:sz w:val="20"/>
                <w:szCs w:val="20"/>
                <w:lang w:val="ka-GE"/>
              </w:rPr>
            </w:pPr>
            <w:r w:rsidRPr="000E50AE">
              <w:rPr>
                <w:rFonts w:ascii="Sylfaen" w:hAnsi="Sylfaen"/>
                <w:color w:val="000000"/>
                <w:sz w:val="20"/>
                <w:szCs w:val="20"/>
                <w:lang w:val="ka-GE"/>
              </w:rPr>
              <w:t>შპს „ულტრა სერვისი“</w:t>
            </w:r>
          </w:p>
          <w:p w14:paraId="5208C3D5" w14:textId="77777777" w:rsidR="001D1FEC" w:rsidRPr="000E50AE" w:rsidRDefault="001D1FEC" w:rsidP="00943136">
            <w:pPr>
              <w:pStyle w:val="NormalWeb"/>
              <w:jc w:val="center"/>
              <w:rPr>
                <w:rFonts w:ascii="Sylfaen" w:hAnsi="Sylfaen"/>
                <w:color w:val="000000"/>
                <w:sz w:val="20"/>
                <w:szCs w:val="20"/>
                <w:lang w:val="ka-GE"/>
              </w:rPr>
            </w:pPr>
            <w:r w:rsidRPr="000E50AE">
              <w:rPr>
                <w:rFonts w:ascii="Sylfaen" w:hAnsi="Sylfaen"/>
                <w:color w:val="000000"/>
                <w:sz w:val="20"/>
                <w:szCs w:val="20"/>
                <w:lang w:val="ka-GE"/>
              </w:rPr>
              <w:t>ს/კ 401945197</w:t>
            </w:r>
          </w:p>
          <w:p w14:paraId="354DB492" w14:textId="77777777" w:rsidR="001D1FEC" w:rsidRPr="000E50AE" w:rsidRDefault="001D1FEC" w:rsidP="00943136">
            <w:pPr>
              <w:pStyle w:val="NormalWeb"/>
              <w:jc w:val="center"/>
              <w:rPr>
                <w:rFonts w:ascii="Sylfaen" w:hAnsi="Sylfaen"/>
                <w:color w:val="000000"/>
                <w:sz w:val="20"/>
                <w:szCs w:val="20"/>
                <w:lang w:val="ka-GE"/>
              </w:rPr>
            </w:pPr>
            <w:r w:rsidRPr="000E50AE">
              <w:rPr>
                <w:rFonts w:ascii="Sylfaen" w:hAnsi="Sylfaen"/>
                <w:color w:val="000000"/>
                <w:sz w:val="20"/>
                <w:szCs w:val="20"/>
                <w:lang w:val="ka-GE"/>
              </w:rPr>
              <w:t>მის.: დიღმის მასივი 2 კვარტალი 7 ბ კორპუსი ბინა 62, თბილისი, საქართველო</w:t>
            </w:r>
          </w:p>
          <w:p w14:paraId="011517FD" w14:textId="77777777" w:rsidR="001D1FEC" w:rsidRPr="000E50AE" w:rsidRDefault="001D1FEC" w:rsidP="00943136">
            <w:pPr>
              <w:pStyle w:val="NormalWeb"/>
              <w:jc w:val="center"/>
              <w:rPr>
                <w:rFonts w:ascii="Sylfaen" w:hAnsi="Sylfaen"/>
                <w:color w:val="000000"/>
                <w:sz w:val="20"/>
                <w:szCs w:val="20"/>
                <w:lang w:val="ka-GE"/>
              </w:rPr>
            </w:pPr>
            <w:r w:rsidRPr="000E50AE">
              <w:rPr>
                <w:rFonts w:ascii="Sylfaen" w:hAnsi="Sylfaen"/>
                <w:color w:val="000000"/>
                <w:sz w:val="20"/>
                <w:szCs w:val="20"/>
                <w:lang w:val="ka-GE"/>
              </w:rPr>
              <w:t>მობ.: 579 790000</w:t>
            </w:r>
          </w:p>
          <w:p w14:paraId="14C6DA99" w14:textId="0FB09706" w:rsidR="001D1FEC" w:rsidRDefault="001D1FEC" w:rsidP="005D248C">
            <w:pPr>
              <w:pStyle w:val="NormalWeb"/>
              <w:jc w:val="center"/>
              <w:rPr>
                <w:rFonts w:ascii="Sylfaen" w:hAnsi="Sylfaen"/>
                <w:color w:val="000000"/>
                <w:sz w:val="20"/>
                <w:szCs w:val="20"/>
                <w:lang w:val="ka-GE"/>
              </w:rPr>
            </w:pPr>
            <w:r w:rsidRPr="000E50AE">
              <w:rPr>
                <w:rFonts w:ascii="Sylfaen" w:hAnsi="Sylfaen"/>
                <w:color w:val="000000"/>
                <w:sz w:val="20"/>
                <w:szCs w:val="20"/>
                <w:lang w:val="ka-GE"/>
              </w:rPr>
              <w:t>ა/ა: GE14TB1855136020100008</w:t>
            </w:r>
          </w:p>
          <w:p w14:paraId="049E6D04" w14:textId="77777777" w:rsidR="005D248C" w:rsidRDefault="005D248C" w:rsidP="005D248C">
            <w:pPr>
              <w:pStyle w:val="NormalWeb"/>
              <w:jc w:val="center"/>
              <w:rPr>
                <w:rFonts w:ascii="Sylfaen" w:hAnsi="Sylfaen"/>
                <w:color w:val="000000"/>
                <w:sz w:val="20"/>
                <w:szCs w:val="20"/>
                <w:lang w:val="ka-GE"/>
              </w:rPr>
            </w:pPr>
          </w:p>
          <w:p w14:paraId="2BBCD6D8" w14:textId="77777777" w:rsidR="001D1FEC" w:rsidRDefault="001D1FEC" w:rsidP="00943136">
            <w:pPr>
              <w:pStyle w:val="NormalWeb"/>
              <w:jc w:val="center"/>
              <w:rPr>
                <w:rFonts w:ascii="Sylfaen" w:hAnsi="Sylfaen"/>
                <w:color w:val="000000"/>
                <w:sz w:val="20"/>
                <w:szCs w:val="20"/>
                <w:lang w:val="ka-GE"/>
              </w:rPr>
            </w:pPr>
            <w:r>
              <w:rPr>
                <w:rFonts w:ascii="Sylfaen" w:hAnsi="Sylfaen"/>
                <w:color w:val="000000"/>
                <w:sz w:val="20"/>
                <w:szCs w:val="20"/>
                <w:lang w:val="ka-GE"/>
              </w:rPr>
              <w:t>_________________</w:t>
            </w:r>
          </w:p>
          <w:p w14:paraId="068AE198" w14:textId="77777777" w:rsidR="001D1FEC" w:rsidRDefault="001D1FEC" w:rsidP="00943136">
            <w:pPr>
              <w:pStyle w:val="NormalWeb"/>
              <w:jc w:val="center"/>
              <w:rPr>
                <w:rFonts w:ascii="Sylfaen" w:hAnsi="Sylfaen"/>
                <w:color w:val="000000"/>
                <w:sz w:val="20"/>
                <w:szCs w:val="20"/>
                <w:lang w:val="ka-GE"/>
              </w:rPr>
            </w:pPr>
            <w:r>
              <w:rPr>
                <w:rFonts w:ascii="Sylfaen" w:hAnsi="Sylfaen"/>
                <w:color w:val="000000"/>
                <w:sz w:val="20"/>
                <w:szCs w:val="20"/>
                <w:lang w:val="ka-GE"/>
              </w:rPr>
              <w:t>დირექტორი</w:t>
            </w:r>
          </w:p>
          <w:p w14:paraId="18FD3A22" w14:textId="77777777" w:rsidR="001D1FEC" w:rsidRDefault="001D1FEC" w:rsidP="00943136">
            <w:pPr>
              <w:pStyle w:val="NormalWeb"/>
              <w:jc w:val="center"/>
              <w:rPr>
                <w:rFonts w:ascii="Sylfaen" w:hAnsi="Sylfaen"/>
                <w:color w:val="000000"/>
                <w:sz w:val="20"/>
                <w:szCs w:val="20"/>
                <w:lang w:val="ka-GE"/>
              </w:rPr>
            </w:pPr>
            <w:r>
              <w:rPr>
                <w:rFonts w:ascii="Sylfaen" w:hAnsi="Sylfaen"/>
                <w:color w:val="000000"/>
                <w:sz w:val="20"/>
                <w:szCs w:val="20"/>
                <w:lang w:val="ka-GE"/>
              </w:rPr>
              <w:t>ნოდარ მაზანაშვილი</w:t>
            </w:r>
          </w:p>
        </w:tc>
        <w:tc>
          <w:tcPr>
            <w:tcW w:w="4840" w:type="dxa"/>
          </w:tcPr>
          <w:p w14:paraId="45ABE522" w14:textId="0AFCB49F" w:rsidR="001D1FEC" w:rsidRPr="000E50AE" w:rsidRDefault="009C0725" w:rsidP="00943136">
            <w:pPr>
              <w:pStyle w:val="NormalWeb"/>
              <w:jc w:val="center"/>
              <w:rPr>
                <w:rFonts w:ascii="Sylfaen" w:hAnsi="Sylfaen"/>
                <w:color w:val="000000"/>
                <w:sz w:val="20"/>
                <w:szCs w:val="20"/>
                <w:lang w:val="ka-GE"/>
              </w:rPr>
            </w:pPr>
            <w:r>
              <w:rPr>
                <w:rFonts w:ascii="Sylfaen" w:hAnsi="Sylfaen"/>
                <w:color w:val="000000"/>
                <w:sz w:val="20"/>
                <w:szCs w:val="20"/>
                <w:lang w:val="ka-GE"/>
              </w:rPr>
              <w:t>მყიდველი</w:t>
            </w:r>
          </w:p>
          <w:p w14:paraId="6E822313" w14:textId="588923E7" w:rsidR="001D1FEC" w:rsidRPr="000E50AE" w:rsidRDefault="001D1FEC" w:rsidP="00943136">
            <w:pPr>
              <w:pStyle w:val="NormalWeb"/>
              <w:jc w:val="center"/>
              <w:rPr>
                <w:rFonts w:ascii="Sylfaen" w:hAnsi="Sylfaen"/>
                <w:color w:val="000000"/>
                <w:sz w:val="20"/>
                <w:szCs w:val="20"/>
                <w:lang w:val="ka-GE"/>
              </w:rPr>
            </w:pPr>
            <w:r w:rsidRPr="000E50AE">
              <w:rPr>
                <w:rFonts w:ascii="Sylfaen" w:hAnsi="Sylfaen"/>
                <w:color w:val="000000"/>
                <w:sz w:val="20"/>
                <w:szCs w:val="20"/>
                <w:lang w:val="ka-GE"/>
              </w:rPr>
              <w:t>შპს „</w:t>
            </w:r>
            <w:r w:rsidR="00863103">
              <w:rPr>
                <w:rFonts w:ascii="Sylfaen" w:hAnsi="Sylfaen"/>
                <w:color w:val="000000"/>
                <w:sz w:val="20"/>
                <w:szCs w:val="20"/>
                <w:lang w:val="ka-GE"/>
              </w:rPr>
              <w:t>-------------</w:t>
            </w:r>
            <w:r w:rsidRPr="000E50AE">
              <w:rPr>
                <w:rFonts w:ascii="Sylfaen" w:hAnsi="Sylfaen"/>
                <w:color w:val="000000"/>
                <w:sz w:val="20"/>
                <w:szCs w:val="20"/>
                <w:lang w:val="ka-GE"/>
              </w:rPr>
              <w:t>“</w:t>
            </w:r>
          </w:p>
          <w:p w14:paraId="118890A2" w14:textId="7A04C841" w:rsidR="001D1FEC" w:rsidRPr="000E50AE" w:rsidRDefault="001D1FEC" w:rsidP="00943136">
            <w:pPr>
              <w:pStyle w:val="NormalWeb"/>
              <w:jc w:val="center"/>
              <w:rPr>
                <w:rFonts w:ascii="Sylfaen" w:hAnsi="Sylfaen"/>
                <w:color w:val="000000"/>
                <w:sz w:val="20"/>
                <w:szCs w:val="20"/>
                <w:lang w:val="ka-GE"/>
              </w:rPr>
            </w:pPr>
            <w:r w:rsidRPr="000E50AE">
              <w:rPr>
                <w:rFonts w:ascii="Sylfaen" w:hAnsi="Sylfaen"/>
                <w:color w:val="000000"/>
                <w:sz w:val="20"/>
                <w:szCs w:val="20"/>
                <w:lang w:val="ka-GE"/>
              </w:rPr>
              <w:t xml:space="preserve">ს/კ . : </w:t>
            </w:r>
            <w:r w:rsidR="00863103">
              <w:rPr>
                <w:rFonts w:ascii="Sylfaen" w:hAnsi="Sylfaen"/>
                <w:color w:val="000000"/>
                <w:sz w:val="20"/>
                <w:szCs w:val="20"/>
                <w:lang w:val="ka-GE"/>
              </w:rPr>
              <w:t>---------------</w:t>
            </w:r>
          </w:p>
          <w:p w14:paraId="3F214CBA" w14:textId="11EFD2B7" w:rsidR="001D1FEC" w:rsidRDefault="001D1FEC" w:rsidP="00943136">
            <w:pPr>
              <w:pStyle w:val="NormalWeb"/>
              <w:jc w:val="center"/>
              <w:rPr>
                <w:rFonts w:ascii="Sylfaen" w:hAnsi="Sylfaen"/>
                <w:color w:val="000000"/>
                <w:sz w:val="20"/>
                <w:szCs w:val="20"/>
                <w:lang w:val="ka-GE"/>
              </w:rPr>
            </w:pPr>
            <w:r w:rsidRPr="000E50AE">
              <w:rPr>
                <w:rFonts w:ascii="Sylfaen" w:hAnsi="Sylfaen"/>
                <w:color w:val="000000"/>
                <w:sz w:val="20"/>
                <w:szCs w:val="20"/>
                <w:lang w:val="ka-GE"/>
              </w:rPr>
              <w:t xml:space="preserve">მის.: </w:t>
            </w:r>
            <w:r w:rsidR="00863103">
              <w:rPr>
                <w:rFonts w:ascii="Sylfaen" w:hAnsi="Sylfaen"/>
                <w:color w:val="000000"/>
                <w:sz w:val="20"/>
                <w:szCs w:val="20"/>
                <w:lang w:val="ka-GE"/>
              </w:rPr>
              <w:t>----------------------------</w:t>
            </w:r>
          </w:p>
          <w:p w14:paraId="7B89460C" w14:textId="77777777" w:rsidR="001D1FEC" w:rsidRDefault="001D1FEC" w:rsidP="00943136">
            <w:pPr>
              <w:pStyle w:val="NormalWeb"/>
              <w:jc w:val="center"/>
              <w:rPr>
                <w:rFonts w:ascii="Sylfaen" w:hAnsi="Sylfaen"/>
                <w:color w:val="000000"/>
                <w:sz w:val="20"/>
                <w:szCs w:val="20"/>
                <w:lang w:val="ka-GE"/>
              </w:rPr>
            </w:pPr>
          </w:p>
          <w:p w14:paraId="36EEEB1A" w14:textId="77777777" w:rsidR="0086523C" w:rsidRDefault="0086523C" w:rsidP="00943136">
            <w:pPr>
              <w:pStyle w:val="NormalWeb"/>
              <w:jc w:val="center"/>
              <w:rPr>
                <w:rFonts w:ascii="Sylfaen" w:hAnsi="Sylfaen"/>
                <w:color w:val="000000"/>
                <w:sz w:val="20"/>
                <w:szCs w:val="20"/>
                <w:lang w:val="ka-GE"/>
              </w:rPr>
            </w:pPr>
          </w:p>
          <w:p w14:paraId="09B930F8" w14:textId="77777777" w:rsidR="005D248C" w:rsidRDefault="005D248C" w:rsidP="00943136">
            <w:pPr>
              <w:pStyle w:val="NormalWeb"/>
              <w:jc w:val="center"/>
              <w:rPr>
                <w:rFonts w:ascii="Sylfaen" w:hAnsi="Sylfaen"/>
                <w:color w:val="000000"/>
                <w:sz w:val="20"/>
                <w:szCs w:val="20"/>
                <w:lang w:val="ka-GE"/>
              </w:rPr>
            </w:pPr>
          </w:p>
          <w:p w14:paraId="30AB55CE" w14:textId="752E3BCD" w:rsidR="001D1FEC" w:rsidRDefault="001D1FEC" w:rsidP="00943136">
            <w:pPr>
              <w:pStyle w:val="NormalWeb"/>
              <w:jc w:val="center"/>
              <w:rPr>
                <w:rFonts w:ascii="Sylfaen" w:hAnsi="Sylfaen"/>
                <w:color w:val="000000"/>
                <w:sz w:val="20"/>
                <w:szCs w:val="20"/>
                <w:lang w:val="ka-GE"/>
              </w:rPr>
            </w:pPr>
            <w:r>
              <w:rPr>
                <w:rFonts w:ascii="Sylfaen" w:hAnsi="Sylfaen"/>
                <w:color w:val="000000"/>
                <w:sz w:val="20"/>
                <w:szCs w:val="20"/>
                <w:lang w:val="ka-GE"/>
              </w:rPr>
              <w:t>_________________</w:t>
            </w:r>
          </w:p>
          <w:p w14:paraId="380794F5" w14:textId="03E46CE0" w:rsidR="001D1FEC" w:rsidRDefault="001D1FEC" w:rsidP="00943136">
            <w:pPr>
              <w:pStyle w:val="NormalWeb"/>
              <w:jc w:val="center"/>
              <w:rPr>
                <w:rFonts w:ascii="Sylfaen" w:hAnsi="Sylfaen"/>
                <w:color w:val="000000"/>
                <w:sz w:val="20"/>
                <w:szCs w:val="20"/>
                <w:lang w:val="ka-GE"/>
              </w:rPr>
            </w:pPr>
            <w:r>
              <w:rPr>
                <w:rFonts w:ascii="Sylfaen" w:hAnsi="Sylfaen"/>
                <w:color w:val="000000"/>
                <w:sz w:val="20"/>
                <w:szCs w:val="20"/>
                <w:lang w:val="ka-GE"/>
              </w:rPr>
              <w:t xml:space="preserve">მთავარი აღმასრულებელი </w:t>
            </w:r>
            <w:r w:rsidR="00863103">
              <w:rPr>
                <w:rFonts w:ascii="Sylfaen" w:hAnsi="Sylfaen"/>
                <w:color w:val="000000"/>
                <w:sz w:val="20"/>
                <w:szCs w:val="20"/>
                <w:lang w:val="ka-GE"/>
              </w:rPr>
              <w:t>დირექტორი</w:t>
            </w:r>
          </w:p>
          <w:p w14:paraId="15EA3BAB" w14:textId="584E2639" w:rsidR="001D1FEC" w:rsidRDefault="00863103" w:rsidP="00943136">
            <w:pPr>
              <w:pStyle w:val="NormalWeb"/>
              <w:jc w:val="center"/>
              <w:rPr>
                <w:rFonts w:ascii="Sylfaen" w:hAnsi="Sylfaen"/>
                <w:color w:val="000000"/>
                <w:sz w:val="20"/>
                <w:szCs w:val="20"/>
                <w:lang w:val="ka-GE"/>
              </w:rPr>
            </w:pPr>
            <w:r>
              <w:rPr>
                <w:rFonts w:ascii="Sylfaen" w:hAnsi="Sylfaen"/>
                <w:color w:val="000000"/>
                <w:sz w:val="20"/>
                <w:szCs w:val="20"/>
                <w:lang w:val="ka-GE"/>
              </w:rPr>
              <w:t>------------</w:t>
            </w:r>
          </w:p>
        </w:tc>
      </w:tr>
    </w:tbl>
    <w:p w14:paraId="061310FD" w14:textId="05C4E9BC" w:rsidR="004102EA" w:rsidRDefault="00AA5F6E">
      <w:pPr>
        <w:spacing w:after="2078" w:line="259" w:lineRule="auto"/>
        <w:ind w:left="5492" w:right="0" w:firstLine="0"/>
        <w:jc w:val="left"/>
      </w:pPr>
      <w:r>
        <w:rPr>
          <w:sz w:val="24"/>
          <w:lang w:val="ka-GE"/>
        </w:rPr>
        <w:t xml:space="preserve"> </w:t>
      </w:r>
      <w:r w:rsidR="002C3A60">
        <w:rPr>
          <w:sz w:val="24"/>
        </w:rPr>
        <w:t xml:space="preserve">                         </w:t>
      </w:r>
    </w:p>
    <w:p w14:paraId="240FD324" w14:textId="77777777" w:rsidR="004102EA" w:rsidRPr="004102EA" w:rsidRDefault="004102EA" w:rsidP="004102EA"/>
    <w:p w14:paraId="0CD19841" w14:textId="77777777" w:rsidR="004102EA" w:rsidRPr="004102EA" w:rsidRDefault="004102EA" w:rsidP="004102EA"/>
    <w:p w14:paraId="7ACE9FA8" w14:textId="77777777" w:rsidR="004102EA" w:rsidRPr="004102EA" w:rsidRDefault="004102EA" w:rsidP="004102EA"/>
    <w:p w14:paraId="3A06ADB7" w14:textId="77777777" w:rsidR="004102EA" w:rsidRPr="004102EA" w:rsidRDefault="004102EA" w:rsidP="004102EA"/>
    <w:p w14:paraId="036E7A75" w14:textId="77777777" w:rsidR="004102EA" w:rsidRPr="004102EA" w:rsidRDefault="004102EA" w:rsidP="004102EA"/>
    <w:p w14:paraId="37C89E7D" w14:textId="77777777" w:rsidR="004102EA" w:rsidRPr="004102EA" w:rsidRDefault="004102EA" w:rsidP="004102EA"/>
    <w:p w14:paraId="6F9E4604" w14:textId="77777777" w:rsidR="004102EA" w:rsidRPr="004102EA" w:rsidRDefault="004102EA" w:rsidP="004102EA"/>
    <w:p w14:paraId="2901FDC0" w14:textId="77777777" w:rsidR="004102EA" w:rsidRPr="004102EA" w:rsidRDefault="004102EA" w:rsidP="004102EA"/>
    <w:p w14:paraId="12211275" w14:textId="77777777" w:rsidR="004102EA" w:rsidRPr="004102EA" w:rsidRDefault="004102EA" w:rsidP="004102EA"/>
    <w:p w14:paraId="0564E90B" w14:textId="77777777" w:rsidR="004102EA" w:rsidRPr="004102EA" w:rsidRDefault="004102EA" w:rsidP="004102EA"/>
    <w:p w14:paraId="2194F31C" w14:textId="77777777" w:rsidR="004102EA" w:rsidRPr="004102EA" w:rsidRDefault="004102EA" w:rsidP="004102EA"/>
    <w:p w14:paraId="157E0405" w14:textId="3E03ED3F" w:rsidR="004102EA" w:rsidRDefault="004102EA" w:rsidP="004102EA"/>
    <w:p w14:paraId="37B15917" w14:textId="4D566C72" w:rsidR="003B7BF7" w:rsidRDefault="003B7BF7" w:rsidP="004102EA"/>
    <w:p w14:paraId="078B4016" w14:textId="77777777" w:rsidR="003B7BF7" w:rsidRPr="004102EA" w:rsidRDefault="003B7BF7" w:rsidP="004102EA"/>
    <w:p w14:paraId="5710EA74" w14:textId="77777777" w:rsidR="004102EA" w:rsidRPr="004102EA" w:rsidRDefault="004102EA" w:rsidP="004102EA"/>
    <w:p w14:paraId="6438527A" w14:textId="77777777" w:rsidR="004102EA" w:rsidRPr="004102EA" w:rsidRDefault="004102EA" w:rsidP="004102EA"/>
    <w:p w14:paraId="0C9D141B" w14:textId="5AC47959" w:rsidR="004102EA" w:rsidRPr="004102EA" w:rsidRDefault="004102EA" w:rsidP="004102EA">
      <w:pPr>
        <w:jc w:val="center"/>
        <w:rPr>
          <w:lang w:val="ka-GE"/>
        </w:rPr>
      </w:pPr>
      <w:bookmarkStart w:id="7" w:name="_Hlk197530223"/>
      <w:r>
        <w:rPr>
          <w:lang w:val="ka-GE"/>
        </w:rPr>
        <w:t xml:space="preserve">შპს </w:t>
      </w:r>
      <w:r w:rsidR="004815B1">
        <w:rPr>
          <w:lang w:val="ka-GE"/>
        </w:rPr>
        <w:t xml:space="preserve">„---------------„ </w:t>
      </w:r>
      <w:r>
        <w:rPr>
          <w:lang w:val="ka-GE"/>
        </w:rPr>
        <w:t xml:space="preserve"> და შპს „ულტრა სერვისს“ შორის </w:t>
      </w:r>
      <w:r w:rsidR="001B2EF7">
        <w:t xml:space="preserve">1 </w:t>
      </w:r>
      <w:r>
        <w:rPr>
          <w:lang w:val="ka-GE"/>
        </w:rPr>
        <w:t>წლის [-] გაფორმებული ხელშეკრულების დანართი N1</w:t>
      </w:r>
    </w:p>
    <w:tbl>
      <w:tblPr>
        <w:tblStyle w:val="TableGrid"/>
        <w:tblW w:w="9464" w:type="dxa"/>
        <w:tblInd w:w="256" w:type="dxa"/>
        <w:tblCellMar>
          <w:top w:w="48" w:type="dxa"/>
          <w:left w:w="107" w:type="dxa"/>
          <w:right w:w="115" w:type="dxa"/>
        </w:tblCellMar>
        <w:tblLook w:val="04A0" w:firstRow="1" w:lastRow="0" w:firstColumn="1" w:lastColumn="0" w:noHBand="0" w:noVBand="1"/>
      </w:tblPr>
      <w:tblGrid>
        <w:gridCol w:w="5354"/>
        <w:gridCol w:w="2122"/>
        <w:gridCol w:w="1988"/>
      </w:tblGrid>
      <w:tr w:rsidR="004102EA" w14:paraId="3632FA3D" w14:textId="77777777" w:rsidTr="00BC2083">
        <w:trPr>
          <w:trHeight w:val="312"/>
        </w:trPr>
        <w:tc>
          <w:tcPr>
            <w:tcW w:w="5354" w:type="dxa"/>
            <w:tcBorders>
              <w:top w:val="single" w:sz="4" w:space="0" w:color="000000"/>
              <w:left w:val="single" w:sz="4" w:space="0" w:color="000000"/>
              <w:bottom w:val="single" w:sz="4" w:space="0" w:color="000000"/>
              <w:right w:val="single" w:sz="4" w:space="0" w:color="000000"/>
            </w:tcBorders>
          </w:tcPr>
          <w:p w14:paraId="01190742" w14:textId="0FE85FB1" w:rsidR="004102EA" w:rsidRDefault="004102EA" w:rsidP="00BC2083">
            <w:pPr>
              <w:tabs>
                <w:tab w:val="left" w:pos="360"/>
              </w:tabs>
              <w:spacing w:after="0" w:line="259" w:lineRule="auto"/>
              <w:ind w:left="0" w:right="0" w:firstLine="0"/>
              <w:jc w:val="left"/>
            </w:pPr>
            <w:bookmarkStart w:id="8" w:name="_Hlk197530244"/>
            <w:bookmarkEnd w:id="7"/>
            <w:r>
              <w:t>მასალის</w:t>
            </w:r>
            <w:r w:rsidR="001D1FEC">
              <w:rPr>
                <w:lang w:val="ka-GE"/>
              </w:rPr>
              <w:t xml:space="preserve"> </w:t>
            </w:r>
            <w:r>
              <w:t xml:space="preserve">დასახელება </w:t>
            </w:r>
          </w:p>
        </w:tc>
        <w:tc>
          <w:tcPr>
            <w:tcW w:w="2122" w:type="dxa"/>
            <w:tcBorders>
              <w:top w:val="single" w:sz="4" w:space="0" w:color="000000"/>
              <w:left w:val="single" w:sz="4" w:space="0" w:color="000000"/>
              <w:bottom w:val="single" w:sz="4" w:space="0" w:color="000000"/>
              <w:right w:val="single" w:sz="4" w:space="0" w:color="000000"/>
            </w:tcBorders>
          </w:tcPr>
          <w:p w14:paraId="38383257" w14:textId="77777777" w:rsidR="004102EA" w:rsidRDefault="004102EA" w:rsidP="00BC2083">
            <w:pPr>
              <w:tabs>
                <w:tab w:val="left" w:pos="360"/>
              </w:tabs>
              <w:spacing w:after="0" w:line="259" w:lineRule="auto"/>
              <w:ind w:left="0" w:right="0" w:firstLine="0"/>
              <w:jc w:val="left"/>
            </w:pPr>
            <w:r>
              <w:t xml:space="preserve">რაოდენობა </w:t>
            </w:r>
          </w:p>
        </w:tc>
        <w:tc>
          <w:tcPr>
            <w:tcW w:w="1988" w:type="dxa"/>
            <w:tcBorders>
              <w:top w:val="single" w:sz="4" w:space="0" w:color="000000"/>
              <w:left w:val="single" w:sz="4" w:space="0" w:color="000000"/>
              <w:bottom w:val="single" w:sz="4" w:space="0" w:color="000000"/>
              <w:right w:val="single" w:sz="4" w:space="0" w:color="000000"/>
            </w:tcBorders>
          </w:tcPr>
          <w:p w14:paraId="5EEFF265" w14:textId="2DE1A28B" w:rsidR="004102EA" w:rsidRPr="004102EA" w:rsidRDefault="004102EA" w:rsidP="00BC2083">
            <w:pPr>
              <w:tabs>
                <w:tab w:val="left" w:pos="360"/>
              </w:tabs>
              <w:spacing w:after="0" w:line="259" w:lineRule="auto"/>
              <w:ind w:left="0" w:right="0" w:firstLine="0"/>
              <w:jc w:val="center"/>
              <w:rPr>
                <w:lang w:val="ka-GE"/>
              </w:rPr>
            </w:pPr>
            <w:r>
              <w:t xml:space="preserve">ფასი </w:t>
            </w:r>
            <w:r>
              <w:rPr>
                <w:lang w:val="ka-GE"/>
              </w:rPr>
              <w:t>(ლარი)</w:t>
            </w:r>
          </w:p>
        </w:tc>
      </w:tr>
      <w:tr w:rsidR="004102EA" w14:paraId="0545FD75" w14:textId="77777777" w:rsidTr="00BC2083">
        <w:trPr>
          <w:trHeight w:val="571"/>
        </w:trPr>
        <w:tc>
          <w:tcPr>
            <w:tcW w:w="5354" w:type="dxa"/>
            <w:tcBorders>
              <w:top w:val="single" w:sz="4" w:space="0" w:color="000000"/>
              <w:left w:val="single" w:sz="4" w:space="0" w:color="000000"/>
              <w:bottom w:val="dashed" w:sz="4" w:space="0" w:color="000000"/>
              <w:right w:val="single" w:sz="4" w:space="0" w:color="000000"/>
            </w:tcBorders>
          </w:tcPr>
          <w:p w14:paraId="5CB6BF10" w14:textId="77777777" w:rsidR="004102EA" w:rsidRDefault="004102EA" w:rsidP="00BC2083">
            <w:pPr>
              <w:tabs>
                <w:tab w:val="left" w:pos="360"/>
              </w:tabs>
              <w:spacing w:after="0" w:line="259" w:lineRule="auto"/>
              <w:ind w:left="0" w:right="0" w:firstLine="0"/>
              <w:jc w:val="center"/>
            </w:pPr>
            <w:r>
              <w:rPr>
                <w:rFonts w:ascii="Calibri" w:eastAsia="Calibri" w:hAnsi="Calibri" w:cs="Calibri"/>
                <w:sz w:val="24"/>
              </w:rPr>
              <w:t xml:space="preserve"> </w:t>
            </w:r>
          </w:p>
          <w:p w14:paraId="69CCBEE6" w14:textId="12226FE0" w:rsidR="004102EA" w:rsidRPr="00206C27" w:rsidRDefault="004102EA" w:rsidP="00BC2083">
            <w:pPr>
              <w:tabs>
                <w:tab w:val="left" w:pos="360"/>
                <w:tab w:val="center" w:pos="4875"/>
              </w:tabs>
              <w:spacing w:after="0" w:line="259" w:lineRule="auto"/>
              <w:ind w:left="0" w:right="0" w:firstLine="0"/>
              <w:jc w:val="left"/>
              <w:rPr>
                <w:sz w:val="2"/>
                <w:vertAlign w:val="subscript"/>
              </w:rPr>
            </w:pPr>
            <w:r w:rsidRPr="00591F2D">
              <w:rPr>
                <w:rFonts w:ascii="Calibri" w:eastAsia="Calibri" w:hAnsi="Calibri" w:cs="Calibri"/>
                <w:sz w:val="22"/>
              </w:rPr>
              <w:t>Starl</w:t>
            </w:r>
            <w:r w:rsidR="001B2EF7">
              <w:rPr>
                <w:rFonts w:ascii="Calibri" w:eastAsia="Calibri" w:hAnsi="Calibri" w:cs="Calibri"/>
                <w:sz w:val="22"/>
              </w:rPr>
              <w:t>ink Standard Kit  (Corporate)</w:t>
            </w:r>
            <w:r>
              <w:rPr>
                <w:sz w:val="2"/>
                <w:vertAlign w:val="subscript"/>
              </w:rPr>
              <w:tab/>
            </w:r>
            <w:r>
              <w:rPr>
                <w:rFonts w:ascii="Calibri" w:eastAsia="Calibri" w:hAnsi="Calibri" w:cs="Calibri"/>
                <w:sz w:val="22"/>
              </w:rPr>
              <w:t xml:space="preserve"> </w:t>
            </w:r>
          </w:p>
        </w:tc>
        <w:tc>
          <w:tcPr>
            <w:tcW w:w="2122" w:type="dxa"/>
            <w:tcBorders>
              <w:top w:val="single" w:sz="4" w:space="0" w:color="000000"/>
              <w:left w:val="single" w:sz="4" w:space="0" w:color="000000"/>
              <w:bottom w:val="dashed" w:sz="4" w:space="0" w:color="000000"/>
              <w:right w:val="single" w:sz="4" w:space="0" w:color="000000"/>
            </w:tcBorders>
          </w:tcPr>
          <w:p w14:paraId="6EC46195" w14:textId="77777777" w:rsidR="004102EA" w:rsidRPr="00563494" w:rsidRDefault="004102EA" w:rsidP="00BC2083">
            <w:pPr>
              <w:tabs>
                <w:tab w:val="left" w:pos="360"/>
              </w:tabs>
              <w:spacing w:after="0" w:line="259" w:lineRule="auto"/>
              <w:ind w:left="0" w:right="0" w:firstLine="0"/>
              <w:jc w:val="center"/>
            </w:pPr>
            <w:r>
              <w:t>1</w:t>
            </w:r>
          </w:p>
        </w:tc>
        <w:tc>
          <w:tcPr>
            <w:tcW w:w="1988" w:type="dxa"/>
            <w:tcBorders>
              <w:top w:val="single" w:sz="4" w:space="0" w:color="000000"/>
              <w:left w:val="single" w:sz="4" w:space="0" w:color="000000"/>
              <w:bottom w:val="dashed" w:sz="4" w:space="0" w:color="000000"/>
              <w:right w:val="single" w:sz="4" w:space="0" w:color="000000"/>
            </w:tcBorders>
          </w:tcPr>
          <w:p w14:paraId="7EE07DC5" w14:textId="77777777" w:rsidR="004102EA" w:rsidRDefault="004102EA" w:rsidP="00BC2083">
            <w:pPr>
              <w:tabs>
                <w:tab w:val="left" w:pos="360"/>
              </w:tabs>
              <w:spacing w:after="0" w:line="259" w:lineRule="auto"/>
              <w:ind w:left="0" w:right="0" w:firstLine="0"/>
              <w:jc w:val="center"/>
            </w:pPr>
            <w:r>
              <w:rPr>
                <w:lang w:val="ka-GE"/>
              </w:rPr>
              <w:t>5500</w:t>
            </w:r>
          </w:p>
        </w:tc>
      </w:tr>
      <w:tr w:rsidR="004102EA" w14:paraId="1028C39F" w14:textId="77777777" w:rsidTr="00BC2083">
        <w:trPr>
          <w:trHeight w:val="314"/>
        </w:trPr>
        <w:tc>
          <w:tcPr>
            <w:tcW w:w="5354" w:type="dxa"/>
            <w:tcBorders>
              <w:top w:val="dashed" w:sz="4" w:space="0" w:color="000000"/>
              <w:left w:val="single" w:sz="4" w:space="0" w:color="000000"/>
              <w:bottom w:val="dashed" w:sz="4" w:space="0" w:color="000000"/>
              <w:right w:val="single" w:sz="4" w:space="0" w:color="000000"/>
            </w:tcBorders>
          </w:tcPr>
          <w:p w14:paraId="5E44BE6A" w14:textId="77777777" w:rsidR="004102EA" w:rsidRPr="00563494" w:rsidRDefault="004102EA" w:rsidP="00BC2083">
            <w:pPr>
              <w:tabs>
                <w:tab w:val="left" w:pos="360"/>
              </w:tabs>
              <w:spacing w:after="0" w:line="259" w:lineRule="auto"/>
              <w:ind w:left="0" w:right="0" w:firstLine="0"/>
              <w:jc w:val="left"/>
            </w:pPr>
            <w:r>
              <w:t xml:space="preserve">Starlink Transfer </w:t>
            </w:r>
            <w:r>
              <w:rPr>
                <w:lang w:val="ka-GE"/>
              </w:rPr>
              <w:t xml:space="preserve">– </w:t>
            </w:r>
            <w:r>
              <w:t xml:space="preserve">instalation </w:t>
            </w:r>
          </w:p>
        </w:tc>
        <w:tc>
          <w:tcPr>
            <w:tcW w:w="2122" w:type="dxa"/>
            <w:tcBorders>
              <w:top w:val="dashed" w:sz="4" w:space="0" w:color="000000"/>
              <w:left w:val="single" w:sz="4" w:space="0" w:color="000000"/>
              <w:bottom w:val="dashed" w:sz="4" w:space="0" w:color="000000"/>
              <w:right w:val="single" w:sz="4" w:space="0" w:color="000000"/>
            </w:tcBorders>
          </w:tcPr>
          <w:p w14:paraId="0E49CAAB" w14:textId="77777777" w:rsidR="004102EA" w:rsidRPr="00F84436" w:rsidRDefault="004102EA" w:rsidP="00BC2083">
            <w:pPr>
              <w:tabs>
                <w:tab w:val="left" w:pos="360"/>
              </w:tabs>
              <w:spacing w:after="0" w:line="259" w:lineRule="auto"/>
              <w:ind w:left="0" w:right="0" w:firstLine="0"/>
              <w:jc w:val="center"/>
              <w:rPr>
                <w:lang w:val="ka-GE"/>
              </w:rPr>
            </w:pPr>
            <w:r>
              <w:t xml:space="preserve"> </w:t>
            </w:r>
          </w:p>
        </w:tc>
        <w:tc>
          <w:tcPr>
            <w:tcW w:w="1988" w:type="dxa"/>
            <w:tcBorders>
              <w:top w:val="dashed" w:sz="4" w:space="0" w:color="000000"/>
              <w:left w:val="single" w:sz="4" w:space="0" w:color="000000"/>
              <w:bottom w:val="dashed" w:sz="4" w:space="0" w:color="000000"/>
              <w:right w:val="single" w:sz="4" w:space="0" w:color="000000"/>
            </w:tcBorders>
          </w:tcPr>
          <w:p w14:paraId="3FF0B3A6" w14:textId="77777777" w:rsidR="004102EA" w:rsidRDefault="004102EA" w:rsidP="00BC2083">
            <w:pPr>
              <w:tabs>
                <w:tab w:val="left" w:pos="360"/>
              </w:tabs>
              <w:spacing w:after="0" w:line="259" w:lineRule="auto"/>
              <w:ind w:left="0" w:right="0" w:firstLine="0"/>
              <w:jc w:val="center"/>
            </w:pPr>
            <w:r>
              <w:t>800</w:t>
            </w:r>
          </w:p>
        </w:tc>
      </w:tr>
      <w:tr w:rsidR="004102EA" w14:paraId="412BA415" w14:textId="77777777" w:rsidTr="00BC2083">
        <w:trPr>
          <w:trHeight w:val="310"/>
        </w:trPr>
        <w:tc>
          <w:tcPr>
            <w:tcW w:w="5354" w:type="dxa"/>
            <w:tcBorders>
              <w:top w:val="single" w:sz="4" w:space="0" w:color="000000"/>
              <w:left w:val="single" w:sz="4" w:space="0" w:color="000000"/>
              <w:bottom w:val="single" w:sz="4" w:space="0" w:color="000000"/>
              <w:right w:val="single" w:sz="4" w:space="0" w:color="000000"/>
            </w:tcBorders>
            <w:shd w:val="clear" w:color="auto" w:fill="CCC0D9"/>
          </w:tcPr>
          <w:p w14:paraId="06E555D9" w14:textId="77777777" w:rsidR="004102EA" w:rsidRDefault="004102EA" w:rsidP="00BC2083">
            <w:pPr>
              <w:tabs>
                <w:tab w:val="left" w:pos="360"/>
              </w:tabs>
              <w:spacing w:after="0" w:line="259" w:lineRule="auto"/>
              <w:ind w:left="0" w:right="0" w:firstLine="0"/>
              <w:jc w:val="center"/>
            </w:pPr>
            <w:r>
              <w:t xml:space="preserve">ჯამი </w:t>
            </w:r>
          </w:p>
        </w:tc>
        <w:tc>
          <w:tcPr>
            <w:tcW w:w="2122" w:type="dxa"/>
            <w:tcBorders>
              <w:top w:val="single" w:sz="4" w:space="0" w:color="000000"/>
              <w:left w:val="single" w:sz="4" w:space="0" w:color="000000"/>
              <w:bottom w:val="single" w:sz="4" w:space="0" w:color="000000"/>
              <w:right w:val="single" w:sz="4" w:space="0" w:color="000000"/>
            </w:tcBorders>
            <w:shd w:val="clear" w:color="auto" w:fill="CCC0D9"/>
          </w:tcPr>
          <w:p w14:paraId="271B2A51" w14:textId="77777777" w:rsidR="004102EA" w:rsidRDefault="004102EA" w:rsidP="00BC2083">
            <w:pPr>
              <w:tabs>
                <w:tab w:val="left" w:pos="360"/>
              </w:tabs>
              <w:spacing w:after="0" w:line="259" w:lineRule="auto"/>
              <w:ind w:left="0" w:right="0"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CCC0D9"/>
          </w:tcPr>
          <w:p w14:paraId="58334003" w14:textId="5A6D3FA8" w:rsidR="004102EA" w:rsidRDefault="004102EA" w:rsidP="00BC2083">
            <w:pPr>
              <w:tabs>
                <w:tab w:val="left" w:pos="360"/>
              </w:tabs>
              <w:spacing w:after="0" w:line="259" w:lineRule="auto"/>
              <w:ind w:left="0" w:right="0" w:firstLine="0"/>
              <w:jc w:val="center"/>
            </w:pPr>
            <w:r>
              <w:rPr>
                <w:lang w:val="ka-GE"/>
              </w:rPr>
              <w:t>630</w:t>
            </w:r>
            <w:r>
              <w:t>0</w:t>
            </w:r>
          </w:p>
        </w:tc>
      </w:tr>
      <w:bookmarkEnd w:id="8"/>
    </w:tbl>
    <w:p w14:paraId="3293D0ED" w14:textId="442574EE" w:rsidR="00DC3868" w:rsidRDefault="00DC3868" w:rsidP="004102EA">
      <w:pPr>
        <w:jc w:val="center"/>
      </w:pPr>
    </w:p>
    <w:p w14:paraId="6C039E68" w14:textId="2D733A0E" w:rsidR="004102EA" w:rsidRDefault="004102EA" w:rsidP="004102EA">
      <w:pPr>
        <w:jc w:val="center"/>
        <w:rPr>
          <w:lang w:val="ka-GE"/>
        </w:rPr>
      </w:pPr>
      <w:bookmarkStart w:id="9" w:name="_Hlk197530275"/>
      <w:r>
        <w:rPr>
          <w:lang w:val="ka-GE"/>
        </w:rPr>
        <w:t>ყოველთვიური სააბონენტო მომსახურება</w:t>
      </w:r>
    </w:p>
    <w:tbl>
      <w:tblPr>
        <w:tblStyle w:val="TableGrid0"/>
        <w:tblW w:w="0" w:type="auto"/>
        <w:tblInd w:w="10" w:type="dxa"/>
        <w:tblLook w:val="04A0" w:firstRow="1" w:lastRow="0" w:firstColumn="1" w:lastColumn="0" w:noHBand="0" w:noVBand="1"/>
      </w:tblPr>
      <w:tblGrid>
        <w:gridCol w:w="4855"/>
        <w:gridCol w:w="4855"/>
      </w:tblGrid>
      <w:tr w:rsidR="004102EA" w14:paraId="6422F33C" w14:textId="77777777" w:rsidTr="004102EA">
        <w:trPr>
          <w:trHeight w:val="680"/>
        </w:trPr>
        <w:tc>
          <w:tcPr>
            <w:tcW w:w="4855" w:type="dxa"/>
          </w:tcPr>
          <w:p w14:paraId="107B38E6" w14:textId="1F618CAA" w:rsidR="004102EA" w:rsidRDefault="004102EA" w:rsidP="004102EA">
            <w:pPr>
              <w:ind w:left="0" w:firstLine="0"/>
              <w:jc w:val="center"/>
              <w:rPr>
                <w:lang w:val="ka-GE"/>
              </w:rPr>
            </w:pPr>
            <w:r>
              <w:rPr>
                <w:lang w:val="ka-GE"/>
              </w:rPr>
              <w:t>მომსახურების დასახელება</w:t>
            </w:r>
          </w:p>
        </w:tc>
        <w:tc>
          <w:tcPr>
            <w:tcW w:w="4855" w:type="dxa"/>
          </w:tcPr>
          <w:p w14:paraId="62428667" w14:textId="748F2D95" w:rsidR="004102EA" w:rsidRDefault="004102EA" w:rsidP="004102EA">
            <w:pPr>
              <w:ind w:left="0" w:firstLine="0"/>
              <w:jc w:val="center"/>
              <w:rPr>
                <w:lang w:val="ka-GE"/>
              </w:rPr>
            </w:pPr>
            <w:r>
              <w:rPr>
                <w:lang w:val="ka-GE"/>
              </w:rPr>
              <w:t>ყოველთვიური ღირებულება (ლარი)</w:t>
            </w:r>
          </w:p>
        </w:tc>
      </w:tr>
      <w:tr w:rsidR="004102EA" w14:paraId="02F1E975" w14:textId="77777777" w:rsidTr="004102EA">
        <w:trPr>
          <w:trHeight w:val="1007"/>
        </w:trPr>
        <w:tc>
          <w:tcPr>
            <w:tcW w:w="4855" w:type="dxa"/>
          </w:tcPr>
          <w:p w14:paraId="2690111A" w14:textId="3E3A21BA" w:rsidR="004102EA" w:rsidRPr="004102EA" w:rsidRDefault="004102EA" w:rsidP="004102EA">
            <w:pPr>
              <w:ind w:left="0" w:firstLine="0"/>
              <w:jc w:val="center"/>
              <w:rPr>
                <w:lang w:val="ka-GE"/>
              </w:rPr>
            </w:pPr>
            <w:r w:rsidRPr="004102EA">
              <w:rPr>
                <w:lang w:val="ka-GE"/>
              </w:rPr>
              <w:t xml:space="preserve">Starlink </w:t>
            </w:r>
            <w:r>
              <w:rPr>
                <w:lang w:val="ka-GE"/>
              </w:rPr>
              <w:t xml:space="preserve">სააბონენტო ულიმიტო , </w:t>
            </w:r>
            <w:r w:rsidR="00B869F8">
              <w:rPr>
                <w:lang w:val="ka-GE"/>
              </w:rPr>
              <w:t xml:space="preserve">დინამიური </w:t>
            </w:r>
            <w:r>
              <w:rPr>
                <w:lang w:val="ka-GE"/>
              </w:rPr>
              <w:t xml:space="preserve"> </w:t>
            </w:r>
            <w:r w:rsidRPr="004102EA">
              <w:rPr>
                <w:lang w:val="ka-GE"/>
              </w:rPr>
              <w:t xml:space="preserve">IP </w:t>
            </w:r>
            <w:r>
              <w:rPr>
                <w:lang w:val="ka-GE"/>
              </w:rPr>
              <w:t>სერვისი (</w:t>
            </w:r>
            <w:r w:rsidRPr="004102EA">
              <w:rPr>
                <w:lang w:val="ka-GE"/>
              </w:rPr>
              <w:t>ინტერნეტ სიჩქარ</w:t>
            </w:r>
            <w:r>
              <w:rPr>
                <w:lang w:val="ka-GE"/>
              </w:rPr>
              <w:t>ი</w:t>
            </w:r>
            <w:r w:rsidRPr="004102EA">
              <w:rPr>
                <w:lang w:val="ka-GE"/>
              </w:rPr>
              <w:t xml:space="preserve">ს უკუკავშირი (Upload) - 40 მბ/მდე, ჩამოტვირთვის მაქსიმალური  სიჩქარე (Download) - 400 მბ/მდე, </w:t>
            </w:r>
            <w:r w:rsidR="00B869F8">
              <w:rPr>
                <w:lang w:val="ka-GE"/>
              </w:rPr>
              <w:t xml:space="preserve">დინამიური </w:t>
            </w:r>
            <w:r w:rsidRPr="004102EA">
              <w:rPr>
                <w:lang w:val="ka-GE"/>
              </w:rPr>
              <w:t>IP მისამართი, Bridge Mode მეთოდით</w:t>
            </w:r>
            <w:r>
              <w:rPr>
                <w:lang w:val="ka-GE"/>
              </w:rPr>
              <w:t>)</w:t>
            </w:r>
          </w:p>
        </w:tc>
        <w:tc>
          <w:tcPr>
            <w:tcW w:w="4855" w:type="dxa"/>
          </w:tcPr>
          <w:p w14:paraId="7FECD4E7" w14:textId="753DB15C" w:rsidR="004102EA" w:rsidRDefault="00B869F8" w:rsidP="004102EA">
            <w:pPr>
              <w:ind w:left="0" w:firstLine="0"/>
              <w:jc w:val="center"/>
              <w:rPr>
                <w:lang w:val="ka-GE"/>
              </w:rPr>
            </w:pPr>
            <w:r>
              <w:rPr>
                <w:lang w:val="ka-GE"/>
              </w:rPr>
              <w:t>800</w:t>
            </w:r>
          </w:p>
        </w:tc>
      </w:tr>
      <w:bookmarkEnd w:id="9"/>
    </w:tbl>
    <w:p w14:paraId="3886F8A3" w14:textId="77777777" w:rsidR="004102EA" w:rsidRPr="004102EA" w:rsidRDefault="004102EA" w:rsidP="004102EA">
      <w:pPr>
        <w:jc w:val="center"/>
        <w:rPr>
          <w:lang w:val="ka-GE"/>
        </w:rPr>
      </w:pPr>
    </w:p>
    <w:sectPr w:rsidR="004102EA" w:rsidRPr="004102EA" w:rsidSect="00206C27">
      <w:pgSz w:w="11906" w:h="16838"/>
      <w:pgMar w:top="506" w:right="726" w:bottom="1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Sans">
    <w:altName w:val="Calibri"/>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DD1442"/>
    <w:multiLevelType w:val="multilevel"/>
    <w:tmpl w:val="D3FC1BA0"/>
    <w:lvl w:ilvl="0">
      <w:start w:val="1"/>
      <w:numFmt w:val="decimal"/>
      <w:lvlText w:val="%1."/>
      <w:lvlJc w:val="left"/>
      <w:pPr>
        <w:ind w:left="20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47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868"/>
    <w:rsid w:val="00014AEA"/>
    <w:rsid w:val="000A6E94"/>
    <w:rsid w:val="00107DCE"/>
    <w:rsid w:val="001B2EF7"/>
    <w:rsid w:val="001C4F0F"/>
    <w:rsid w:val="001D1FEC"/>
    <w:rsid w:val="001D2FCC"/>
    <w:rsid w:val="001D6C1C"/>
    <w:rsid w:val="001D742E"/>
    <w:rsid w:val="001F2F39"/>
    <w:rsid w:val="00206C27"/>
    <w:rsid w:val="00214686"/>
    <w:rsid w:val="002815C2"/>
    <w:rsid w:val="002C3A60"/>
    <w:rsid w:val="002E70E3"/>
    <w:rsid w:val="002F139E"/>
    <w:rsid w:val="002F5652"/>
    <w:rsid w:val="00356B56"/>
    <w:rsid w:val="00366390"/>
    <w:rsid w:val="003B7BF7"/>
    <w:rsid w:val="003C0263"/>
    <w:rsid w:val="00403844"/>
    <w:rsid w:val="004102EA"/>
    <w:rsid w:val="004354B3"/>
    <w:rsid w:val="0043788B"/>
    <w:rsid w:val="0046078C"/>
    <w:rsid w:val="00472684"/>
    <w:rsid w:val="004815B1"/>
    <w:rsid w:val="0050656A"/>
    <w:rsid w:val="00524EA9"/>
    <w:rsid w:val="0055009C"/>
    <w:rsid w:val="00563494"/>
    <w:rsid w:val="00581BA4"/>
    <w:rsid w:val="00591F2D"/>
    <w:rsid w:val="005B08C6"/>
    <w:rsid w:val="005D248C"/>
    <w:rsid w:val="005F7080"/>
    <w:rsid w:val="006030DE"/>
    <w:rsid w:val="00667154"/>
    <w:rsid w:val="00670437"/>
    <w:rsid w:val="006A23C9"/>
    <w:rsid w:val="006D2E85"/>
    <w:rsid w:val="00701D34"/>
    <w:rsid w:val="00714A2A"/>
    <w:rsid w:val="00764588"/>
    <w:rsid w:val="00795C78"/>
    <w:rsid w:val="007E63A1"/>
    <w:rsid w:val="00816F39"/>
    <w:rsid w:val="00830260"/>
    <w:rsid w:val="00863103"/>
    <w:rsid w:val="0086523C"/>
    <w:rsid w:val="00882599"/>
    <w:rsid w:val="008A7A2C"/>
    <w:rsid w:val="008F0893"/>
    <w:rsid w:val="00905C24"/>
    <w:rsid w:val="0096484F"/>
    <w:rsid w:val="009921D9"/>
    <w:rsid w:val="009925A5"/>
    <w:rsid w:val="009C0725"/>
    <w:rsid w:val="009C2565"/>
    <w:rsid w:val="00A01AD7"/>
    <w:rsid w:val="00A116E5"/>
    <w:rsid w:val="00A3595B"/>
    <w:rsid w:val="00A63053"/>
    <w:rsid w:val="00AA5F6E"/>
    <w:rsid w:val="00AF2F6D"/>
    <w:rsid w:val="00AF36DF"/>
    <w:rsid w:val="00B04816"/>
    <w:rsid w:val="00B41BFC"/>
    <w:rsid w:val="00B62026"/>
    <w:rsid w:val="00B869F8"/>
    <w:rsid w:val="00C206CA"/>
    <w:rsid w:val="00C26496"/>
    <w:rsid w:val="00CB654E"/>
    <w:rsid w:val="00CE330D"/>
    <w:rsid w:val="00CE7C4B"/>
    <w:rsid w:val="00CF2D89"/>
    <w:rsid w:val="00D825F5"/>
    <w:rsid w:val="00D90BBA"/>
    <w:rsid w:val="00D92F8A"/>
    <w:rsid w:val="00DA570B"/>
    <w:rsid w:val="00DC3868"/>
    <w:rsid w:val="00DD6357"/>
    <w:rsid w:val="00DE7511"/>
    <w:rsid w:val="00E04412"/>
    <w:rsid w:val="00E11EF3"/>
    <w:rsid w:val="00E4049B"/>
    <w:rsid w:val="00E769F9"/>
    <w:rsid w:val="00E77673"/>
    <w:rsid w:val="00F2048B"/>
    <w:rsid w:val="00F365FF"/>
    <w:rsid w:val="00F464F6"/>
    <w:rsid w:val="00F46AEA"/>
    <w:rsid w:val="00F47C01"/>
    <w:rsid w:val="00F56C3A"/>
    <w:rsid w:val="00F60838"/>
    <w:rsid w:val="00F84436"/>
    <w:rsid w:val="00FF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1290"/>
  <w15:docId w15:val="{91C68F37-FB52-4A44-ADC3-B0086DBA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10" w:right="785" w:hanging="10"/>
      <w:jc w:val="both"/>
    </w:pPr>
    <w:rPr>
      <w:rFonts w:ascii="Sylfaen" w:eastAsia="Sylfaen" w:hAnsi="Sylfaen" w:cs="Sylfae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0A6E9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0A6E94"/>
    <w:rPr>
      <w:color w:val="0000FF"/>
      <w:u w:val="single"/>
    </w:rPr>
  </w:style>
  <w:style w:type="character" w:styleId="CommentReference">
    <w:name w:val="annotation reference"/>
    <w:basedOn w:val="DefaultParagraphFont"/>
    <w:uiPriority w:val="99"/>
    <w:semiHidden/>
    <w:unhideWhenUsed/>
    <w:rsid w:val="00366390"/>
    <w:rPr>
      <w:sz w:val="16"/>
      <w:szCs w:val="16"/>
    </w:rPr>
  </w:style>
  <w:style w:type="paragraph" w:styleId="CommentText">
    <w:name w:val="annotation text"/>
    <w:basedOn w:val="Normal"/>
    <w:link w:val="CommentTextChar"/>
    <w:uiPriority w:val="99"/>
    <w:semiHidden/>
    <w:unhideWhenUsed/>
    <w:rsid w:val="00366390"/>
    <w:pPr>
      <w:spacing w:line="240" w:lineRule="auto"/>
    </w:pPr>
    <w:rPr>
      <w:szCs w:val="20"/>
    </w:rPr>
  </w:style>
  <w:style w:type="character" w:customStyle="1" w:styleId="CommentTextChar">
    <w:name w:val="Comment Text Char"/>
    <w:basedOn w:val="DefaultParagraphFont"/>
    <w:link w:val="CommentText"/>
    <w:uiPriority w:val="99"/>
    <w:semiHidden/>
    <w:rsid w:val="00366390"/>
    <w:rPr>
      <w:rFonts w:ascii="Sylfaen" w:eastAsia="Sylfaen" w:hAnsi="Sylfaen" w:cs="Sylfaen"/>
      <w:color w:val="000000"/>
      <w:sz w:val="20"/>
      <w:szCs w:val="20"/>
    </w:rPr>
  </w:style>
  <w:style w:type="paragraph" w:styleId="CommentSubject">
    <w:name w:val="annotation subject"/>
    <w:basedOn w:val="CommentText"/>
    <w:next w:val="CommentText"/>
    <w:link w:val="CommentSubjectChar"/>
    <w:uiPriority w:val="99"/>
    <w:semiHidden/>
    <w:unhideWhenUsed/>
    <w:rsid w:val="00366390"/>
    <w:rPr>
      <w:b/>
      <w:bCs/>
    </w:rPr>
  </w:style>
  <w:style w:type="character" w:customStyle="1" w:styleId="CommentSubjectChar">
    <w:name w:val="Comment Subject Char"/>
    <w:basedOn w:val="CommentTextChar"/>
    <w:link w:val="CommentSubject"/>
    <w:uiPriority w:val="99"/>
    <w:semiHidden/>
    <w:rsid w:val="00366390"/>
    <w:rPr>
      <w:rFonts w:ascii="Sylfaen" w:eastAsia="Sylfaen" w:hAnsi="Sylfaen" w:cs="Sylfaen"/>
      <w:b/>
      <w:bCs/>
      <w:color w:val="000000"/>
      <w:sz w:val="20"/>
      <w:szCs w:val="20"/>
    </w:rPr>
  </w:style>
  <w:style w:type="paragraph" w:styleId="BalloonText">
    <w:name w:val="Balloon Text"/>
    <w:basedOn w:val="Normal"/>
    <w:link w:val="BalloonTextChar"/>
    <w:uiPriority w:val="99"/>
    <w:semiHidden/>
    <w:unhideWhenUsed/>
    <w:rsid w:val="00366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390"/>
    <w:rPr>
      <w:rFonts w:ascii="Segoe UI" w:eastAsia="Sylfaen" w:hAnsi="Segoe UI" w:cs="Segoe UI"/>
      <w:color w:val="000000"/>
      <w:sz w:val="18"/>
      <w:szCs w:val="18"/>
    </w:rPr>
  </w:style>
  <w:style w:type="paragraph" w:styleId="ListParagraph">
    <w:name w:val="List Paragraph"/>
    <w:basedOn w:val="Normal"/>
    <w:uiPriority w:val="34"/>
    <w:qFormat/>
    <w:rsid w:val="006030DE"/>
    <w:pPr>
      <w:ind w:left="720"/>
      <w:contextualSpacing/>
    </w:pPr>
  </w:style>
  <w:style w:type="table" w:styleId="TableGrid0">
    <w:name w:val="Table Grid"/>
    <w:basedOn w:val="TableNormal"/>
    <w:uiPriority w:val="39"/>
    <w:rsid w:val="00410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1FE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AF2F6D"/>
    <w:rPr>
      <w:b/>
      <w:bCs/>
    </w:rPr>
  </w:style>
  <w:style w:type="character" w:customStyle="1" w:styleId="relative">
    <w:name w:val="relative"/>
    <w:basedOn w:val="DefaultParagraphFont"/>
    <w:rsid w:val="007E6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739135">
      <w:bodyDiv w:val="1"/>
      <w:marLeft w:val="0"/>
      <w:marRight w:val="0"/>
      <w:marTop w:val="0"/>
      <w:marBottom w:val="0"/>
      <w:divBdr>
        <w:top w:val="none" w:sz="0" w:space="0" w:color="auto"/>
        <w:left w:val="none" w:sz="0" w:space="0" w:color="auto"/>
        <w:bottom w:val="none" w:sz="0" w:space="0" w:color="auto"/>
        <w:right w:val="none" w:sz="0" w:space="0" w:color="auto"/>
      </w:divBdr>
    </w:div>
    <w:div w:id="772474243">
      <w:bodyDiv w:val="1"/>
      <w:marLeft w:val="0"/>
      <w:marRight w:val="0"/>
      <w:marTop w:val="0"/>
      <w:marBottom w:val="0"/>
      <w:divBdr>
        <w:top w:val="none" w:sz="0" w:space="0" w:color="auto"/>
        <w:left w:val="none" w:sz="0" w:space="0" w:color="auto"/>
        <w:bottom w:val="none" w:sz="0" w:space="0" w:color="auto"/>
        <w:right w:val="none" w:sz="0" w:space="0" w:color="auto"/>
      </w:divBdr>
    </w:div>
    <w:div w:id="1307592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4436-387F-40C1-BED4-630486BF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Interneti.ge Interneti.ge</cp:lastModifiedBy>
  <cp:revision>16</cp:revision>
  <cp:lastPrinted>2024-08-07T10:33:00Z</cp:lastPrinted>
  <dcterms:created xsi:type="dcterms:W3CDTF">2025-05-08T08:45:00Z</dcterms:created>
  <dcterms:modified xsi:type="dcterms:W3CDTF">2025-06-06T15:25:00Z</dcterms:modified>
</cp:coreProperties>
</file>